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[19] J. Clement, “Twitter: Number of monthly active U.S. users 2010–2019,” Statista, Inc., New York, NY, USA, Rep., Aug. 2019. [Online]. Available: https://www.statista.com/statistics/282087/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number-of-monthly-active-twitter-users/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[20] M. C. Lucic, H. Ghazzai, and Y. Massoud, “A generalized dynamic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planning framework for green UAV-assisted intelligent transportation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 infrastructure,” IEEE Syst. J., early access, Feb. 17, 2020,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doi: 10.1109/JSYST.2020.2969372.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[21] X. Zheng et al., “Big data for social transportation,” IEEE Trans.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Intell. Transp. Syst., vol. 17, no. 3, pp. 620–630, Mar. 2016.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[22] G. Kalra, H. M. Nguyen, W. Yoon, D. Lee, and D. Kim, “Location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digest: A placeness service to discover community experience using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social media,” in Proc. IEEE Int. Smart Cities Conf. (ISC2), Kansas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City, MO, USA, Sep. 2018, pp. 1–8.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[23] A. Sidauruk and Ikmah, “Congestion correlation and classification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twitter and waze map using artificial neural network,”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Proc. 3rd Int. Conf. Inf. Technol. Inf. Syst. Elect. Eng. (ICITISEE),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Yogyakarta, Indonesia, Nov. 2018, pp. 224–229. [Online]. Available: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https://ieeexplore.ieee.org/document/8720995/authors#authors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[24] H. Shekhar, S. Setty, and U. Mudenagudi, “Vehicular traffic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social media data,” in Proc. Int. Conf. Adv. Comput. Commun.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Informat. (ICACCI), Jaipur, India, Sep. 2016, pp. 1628–1634.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[25] B. Liu, Sentiment Analysis: Mining Opinions, Sentiments,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Emotions. Cambridge, U.K.: Cambridge Univ. Press, 2015.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[26] Y. Zhang, W. Chen, C. K. Yeo, C. T. Lau, and B. S. Lee, “Detecting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rumors on online social networks using multi-layer autoencoder,”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Proc. IEEE Technol. Eng. Manag. Conf. (TEMSCON), Santa Clara,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CA, USA, Jun. 2017, pp. 437–441.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[27] S. Deerwester, S. T. Dumais, G. W. Furnas, T. K. Landauer,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R. Harshman, “Indexing by latent semantic analysis,” J. Amer. Soc.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Inf. Sci., vol. 41, no. 6, pp. 391–407, 1990.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[28] T. Hofmann, “Unsupervised learning by probabilistic latent semantic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analysis,” Mach. Learn., vol. 42, nos. 1–2, pp. 177–196, 2001.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[29] D. M. Blei, A. Y. Ng, and M. I. Jordan, “Latent dirichlet allocation,”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J. Mach. Learn. Res., vol. 3, pp. 993–1022, Jan. 2003.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[30] L. Page, S. Brin, R. Motwani, and T. Winograd, “The pagerank citation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ranking: Bringing order to the Web,” Stanford InfoLab, Stanford, CA,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USA, Rep. 1999-66, 1999.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[31] F. Barrios, F. López, L. Argerich, and R. Wachenchauzer, “Variations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of the similarity function of textrank for automated summarization,”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2016. [Online]. Available: arXiv:1602.03606.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[32] S. Robertson and H. Zaragoza, “The probabilistic relevance frame-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work: BM25 and beyond,” Found. Trends Inf. Retrieval, vol. 3, no. 4,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pp. 333–389, 2009.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[33] A. R. Pal and D. Saha, “An approach to automatic text summariza-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tion using WordNet,” in Proc. IEEE Int. Adv. Comput. Conf. (IACC),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Gurgaon, India, Feb. 2014, pp. 1169–1173.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[34] T. Vodolazova, E. Lloret, R. Muñoz, and M. Palomar, The Role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of Statistical and Semantic Features in Single-Document Extractive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Summarization, vol. 2. Richmond Hill, ON, Canada: Sciedu Press,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Apr. 2013, pp. 35–44.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[35] X. Wan, H. Ghazzai, and Y. Massoud, “Word embedding-based 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processing for comprehensive summarization and distinct information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extraction,” in Proc. IEEE Technol. Eng. Manag. (TEMSCON), Novi,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MI, USA, Jun. 2020, pp. 1–5.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[36] T. Mikolov, K. Chen, G. Corrado, and J. Dean, “Efficient estimation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 word representations in vector space,” 2013. [Online]. Available: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arXiv:1301.3781.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[37] T. Mikolov, I. Sutskever, K. Chen, G. S. Corrado, and J. Dean,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“Distributed representations of words and phrases and their compo-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sitionality,” in Advances in Neural Information Processing Systems.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Red Hook, NY, USA: Curran, 2013, pp. 3111–3119.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[38] Q. Le and T. Mikolov, “Distributed representations of sentences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documents,” in Proc. 31st Int. Conf. Mach. Learn., Beijing, China,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Jan. 2014, pp. 1188–1196.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[39] J. Pennington, R. Socher, and C. D. Manning, “Glove: Global vectors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word representation,” in Proc. Conf. Empirical Methods Nat. Lang.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Process. (EMNLP), Doha, Qatar, Oct. 2014. pp. 1532–1543.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[40] A. Vaswani et al., “Attention is all you need,” in Advances in Neural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Information Processing Systems. Red Hook, NY, USA: Curran Assoc.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Inc., 2017, pp. 5998–6008.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[41] J. Devlin, M.-W. Chang, K. Lee, and K. Toutanova, “BERT: Pre-training of deep bidirectional transformers for language under-standing,” 2018. [Online]. Available: arXiv:1810.04805.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[42] M. E. Peters et al., “Deep contextualized word representations,” 2018.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[Online]. Available: arXiv:1802.05365.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[43] A. Radford, K. Narasimhan, T. Salimans, and I. Sutskever,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“Improving language understanding by generative pre-training,” White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Paper, 2018. [Online]. Available: https://www.cs.ubc.ca/∼amuham01/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LING530/papers/radford2018improving.pdf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[44] Z. Lan, M. Chen, S. Goodman, K. Gimpel, P. Sharma, and R. Soricut,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“ALBERT: A lite BERT for self-supervised learning of language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representations,” 2019. [Online]. Available: arXiv:1909.11942.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[45] J. Booth, B. Di Eugenio, I. F. Cruz, and O. Wolfson, “Robust natural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language processing for urban trip planning,” Appl. Artif. Intell.,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vol. 29, no. 9, pp. 859–903, 2015.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[46] A. Salas, P. Georgakis, and Y. Petalas, “Incident detection using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social media,” in Proc. IEEE 20th Int. Conf. Intell. Transp. Syst.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(ITSC), Yokohama, Japan, Oct. 2017, pp. 751–755.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[47] Y. Chen, Y. Lv, X. Wang, L. Li, and F. Wang, “Detecting traffic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information from social media texts with deep learning approaches,”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IEEE Trans. Intell. Transp. Syst., vol. 20, no. 8, pp. 3049–3058,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Aug. 2019.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[48] Z. Gao, A. Feng, X. Song, and X. Wu, “Target-dependent sentiment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classification with BERT,” IEEE Access, vol. 7, pp. 154290–154299,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2019.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[49] M. C. Lucic, X. Wan, H. Ghazzai, and Y. Massoud, “Leveraging intel-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ligent transportation systems and smart vehicles using crowdsourcing: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 overview,” Smart Cities, vol. 3, no. 2, pp. 341–361, 2020.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[50] J. T. Méndez, H. Lobel, D. Parra, and J. C. Herrera, “Using twitter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 infer user satisfaction with public transport: The case of santiago,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chile,” IEEE Access, vol. 7, pp. 60255–60263, 2019.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[51] Y. Chen, J. Wang, and G. Lai, “Research on improving the government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service quality by public comments monitoring: Take suburb park an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example,” in Proc. 15th Int. Conf. Serv. Syst. Serv. Manag. (ICSSSM),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Hangzhou, China, Jul. 2018, pp. 1–5.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[52] P. Pimpale, A. Panangadan, and L. V. Abellera, “Analyzing spread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of influence in social networks for transportation applications,” 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Proc. IEEE 8th Annu. Comput. Commun. Workshop Conf. (CCWC),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Las Vegas, NV, USA, Feb. 2018, pp. 763–768.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[53] G. G. Svartzman and J. E. R. Marquez, “Listen to the people! com-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paring perceived and documented disruptions in public transportation,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through quantitative quality of experience, the case study of NYC,” 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Proc. IEEE Int. Conf. Syst. Man Cybern. (SMC), Bari, Italy, Oct. 2019,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pp. 947–952.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