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[17] T. Kuzman, I Mozetic, and N. Ljubešic, ‘‘Chatgpt: Beginning of 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end of manual linguistic data annotation? use case of automatic genre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identification,’’ 2023, ArXiv:2303.03953.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[18] M. Tahmid R. Laskar, M. Rahman, I. Jahan, E. Hoque, and J. Huang,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‘‘CQSumDP: A ChatGPT-annotated resource for query-focused abstrac-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tive summarization based on debatepedia,’’ 2023, arXiv:2305.06147.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[19] E. Ollion, R. Shen, A. Macanovic, and A. Chatelain, ‘‘ChatGPT for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annotation? mind the hype!’’ 2023.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[20] F. Gilardi, M. Alizadeh, and M. Kubli, ‘‘ChatGPT outperforms crowd-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workers for text-annotation tasks,’’ 2023, arXiv:2303.15056.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[21] L. Ostyakova, K. Petukhova, V. Smilga, and D. Zharikova, ‘‘Linguistic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annotation generation with ChatGPT: A synthetic dataset of speech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functions for discourse annotation of casual conversations,’’ in Proc. Int.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Conf. Dialogue, Jun. 2023, pp. 1–18.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[22] L. Ostyakova, V. Smilga, K. Petukhova, M. Molchanova, and D. Kornev,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‘‘ChatGPT vs. crowdsourcing vs. experts: Annotating open-domain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conversations with speech functions,’’ in Proc. 24th Meeting Special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Interest Group Discourse Dialogue, 2023, pp. 242–254.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[23] B. Koptyra, A. Ngo, Ł. Radliński, and J. Kocoń, ‘‘Clarin-Emo: Training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emotion recognition models using human annotation and ChatGPT,’’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Proc. Int. Conf. Comput. Sci., 2023, pp. 365–379.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[24] A. Vujinović, N. Luburić, J. Slivka, and A. Kovačević, ‘‘Using ChatGPT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annotate a dataset: A case study in intelligent tutoring systems,’’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Mach. Learn. Appl., vol. 16, Jun. 2024, Art. no. 100557.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[25] M. Belal, J. She, and S. Wong, ‘‘Leveraging ChatGPT as text annotation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tool for sentiment analysis,’’ 2023, arXiv:2306.17177.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[26] M. V. Reiss, ‘‘Testing the reliability of ChatGPT for text annotation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classification: A cautionary remark,’’ 2023, arXiv:2304.11085.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[27] P. Törnberg, ‘‘ChatGPT-4 outperforms experts and crowd workers 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annotating political Twitter messages with zero-shot learning,’’ 2023,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arXiv:2304.06588.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[28] M. Alizadeh, M. Kubli, Z. Samei, S. Dehghani, J. D. Bermeo,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M. Korobeynikova, and F. Gilardi, ‘‘Open-source large language models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outperform crowd workers and approach ChatGPT in text-annotation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tasks,’’ 2023, arXiv:2307.02179.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[29] Y. Zhu, P. Zhang, E.-U. Haq, P. Hui, and G. Tyson, ‘‘Can ChatGPT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reproduce human-generated labels? a study of social computing tasks,’’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2023, arXiv:2304.10145.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[30] S. Wang, Y. Liu, Y. Xu, C. Zhu, and M. Zeng, ‘‘Want to reduce labeling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cost? GPT-3 can help,’’ 2021, arXiv:2108.13487.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