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Cited papers in related work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[1] W.-C. Kang and J. McAuley, “Self-attentive sequential recommendation,”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Proc. IEEE Int. Conf. Data Mining, 2018, pp. 197–206.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[2] F. Sun et al., “BERT4rec: Sequential recommendation with bidirectional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encoder representations from transformer,” in Proc. ACM Int. Conf. Inf.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Knowl. Manage., 2019, pp. 1441–1450.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[4] X. Xie et al., “Contrastive learning for sequential recommendation,” 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Proc. IEEE Int. Conf. Data Eng., 2022, pp. 1259–1273.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[5] J. Devlin, M.-W. Chang, K. Lee, and K. Toutanova, “BERT: Pre-training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 deep bidirectional transformers for language understanding,” in Proc.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Conf. North Amer. Assoc. Comput. Linguistics, 2019, pp. 4171–4186.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[6] Z. Zeng et al., “Knowledge transfer via pre-training for recommendation: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review and prospect,” Front. Big Data, vol. 4, 2021, Art. no. 602071.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[7] C. Xiao et al., “UPRec: User-aware pre-training for recommender sys-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tems,” 2021, arXiv:2102.10989.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[8] T. B. Brown et al., “Language models are few-shot learners,” in Proc. Int.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Conf. Neural Inf. Process. Syst., 2020, pp. 1877–1901.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[11] T. Gao, A. Fisch, and D. Chen, “Making pre-trained language models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better few-shot learners,” in Proc. Conf. Assoc. Comput. Linguistics, 2021,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pp. 3816–3830.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[12] X. L. Li and P. Liang, “Prefix-tuning: Optimizing continuous prompts for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generation,” in Proc. 59th Annu. Meeting Assoc. Comput. Linguistics 11th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Int. Joint Conf. Natural Lang. Process., 2021, pp. 4582–4597.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[14] B. Hidasi, M. Quadrana, A. Karatzoglou, and D. Tikk, “Parallel recurrent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neural network architectures for feature-rich session-based recommenda-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tions,” in Proc. 10th ACM Conf. Recommender Syst., 2016, pp. 241–248.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[15] A. Vaswani et al., “Attention is all you need,” in Proc. Proc. Int. Conf.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Neural Inf. Process. Syst., 2017, pp. 5998–6008.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[16] Y. Zheng, S. Liu, Z. Li, and S. Wu, “Cold-start sequential recommendation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via meta learner,” in Proc. AAAI Conf. Artif. Intell., 2021, pp. 4706–4713.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[17] D. Lian, Y. Wu, Y. Ge, X. Xie, and E. Chen, “Geography-aware sequential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location recommendation,” in Proc. 26th ACM SIGKDD Int. Conf. Knowl.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Discov. Data Mining, 2020, pp. 2009–2019.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[18] Z. Liu, Z. Fan, Y. Wang, and P. S. Yu, “Augmenting sequential rec-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ommendation with pseudo-prior items via reversely pre-training trans-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former,” in Proc. Int. ACM SIGIR Conf. Res. Develop. Inf. Retrieval, 2021,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pp. 1608–1612.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[19] Y. Han et al., “GUESR: A global unsupervised data-enhancement with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bucket-cluster sampling for sequential recommendation,” in Proc. Int.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Conf. Database Syst. Adv. Appl., Springer, 2023, pp. 286–296.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[20] B. Hidasi, A. Karatzoglou, L. Baltrunas, and D. Tikk, “Session-based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recommendations with recurrent neural networks,” in Proc. Int. Conf.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Learn. Representations, 2016.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[21] L. Chen, F. Yuan, J. Yang, X. He, C. Li, and M. Yang, “User-specific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adaptive fine-tuning for cross-domain recommendations,” IEEE Trans.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Knowl. Data Eng., vol. 35, no. 3, pp. 3239–3252, Mar. 2023.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[22] Y. Liu et al., “RoBERTa: A robustly optimized BERT pretraining ap-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proach,” 2019, arXiv: 1907.11692.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[23] K. He, X. Chen, S. Xie, Y. Li, P. Dollár, and R. Girshick, “Masked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autoencoders are scalable vision learners,” in Proc. IEEE Conf. Comput.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Vis. Pattern Recognit., 2022, pp. 15979–15988.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[24] A. Radford et al., “Learning transferable visual models from natural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language supervision,” in Proc. Int. Conf. Mach. Learn., PMLR, 2021,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pp. 8748–8763.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[25] K. Shin et al., “One4all user representation for recommender systems 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e-commerce,” 2021, arXiv:2106.00573.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[26] T. Yao et al., “Self-supervised learning for large-scale item recom-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mendations,” in Proc. ACM Int. Conf. Inf. Knowl. Manage., 2021,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pp. 4321–4330.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[27] J. Wu et al., “Self-supervised graph learning for recommendation,”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 Proc. Int. ACM SIGIR Conf. Res. Develop. Inf. Retrieval, 2021,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pp. 726–735.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[28] X. Huang, J. Lian, Y. Lei, J. Yao, D. Lian, and X. Xie, “Recommender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ai agent: Integrating large language models for interactive recommenda-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tions,” 2023, arXiv:2308.16505.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[29] K. Zhou et al., “S3-Rec: Self-supervised learning for sequential recom-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mendation with mutual information maximization,” in Proc. ACM Int.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Conf. Inf. Knowl. Manage., 2020, pp. 1893–1902.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[30] F. Yuan, X. He, A. Karatzoglou, and L. Zhang, “Parameter-efficient transfer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sequential behaviors for user modeling and recommendation,” 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Proc. Int. ACM SIGIR Conf. Res. Develop. Inf. Retrieval, 2020, pp. 1469–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1478.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[31] Y. Hou, S. Mu, W. X. Zhao, Y. Li, B. Ding, and J.-R. Wen, “Towards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universal sequence representation learning for recommender systems,”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Proc. 28th ACM SIGKDD Conf. Knowl. Discov. Data Mining, 2022,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pp. 585–593.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[32] L. Li, Y. Zhang, and L. Chen, “Personalized prompt learning for explain-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able recommendation,” 2022, arXiv:2202.07371.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[33] S. Geng, S. Liu, Z. Fu, Y. Ge, and Y. Zhang, “Recommendation 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language processing (RLP): A unified pretrain, personalized prompt &amp;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predict paradigm (P5),” in Proc. 16th ACM Conf. Recommender Syst.,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2022, pp. 299–315.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[34] Z. Cui, J. Ma, C. Zhou, J. Zhou, and H. Yang, “M6-rec: Genera-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tive pretrained language models are open-ended recommender systems,”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2022, arXiv:2205.08084.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[35] A. Radford et al., “Language models are unsupervised multitask learners,”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OpenAI blog 1, vol. 8, no. 2019, p. 9, 2019.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[36] X. Liu et al., “GPT understands, too,” 2021, arXiv:2103.10385.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[37] X. Liu et al., “P-tuning v2: Prompt tuning can be comparable to fine-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tuning universally across scales and tasks,” in Proc. 60th Ann. Meet. Assoc.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Comput. Linguistics (Volume 2: Short Papers), S. Muresan, P. Nakov, and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A. Villavicencio, Eds., Dublin, Ireland: Association for Computational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Linguistics, 2022, pp. 61–68.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[38] T. Schick and H. Schütze, “Exploiting cloze questions for few shot text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classification and natural language inference,” in Proc. Conf. Assoc. Com-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put. Linguistics, 2020, pp. 255–269.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[39] Z. Jiang, F. F. Xu, J. Araki, and G. Neubig, “How can we know what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language models know?,” Trans. Assoc. Comput. Linguistics, vol. 8,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pp. 423–438, 2020.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[40] Y. Wu et al., “Selective fairness in recommendation via prompts,” in Proc.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Int. ACM SIGIR Conf. Res. Develop. Inf. Retrieval, 2022, pp. 2657–2662.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[41] Y. Gu, X. Han, Z. Liu, and M. Huang, “PPT: Pre-trained prompt tuning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 few-shot learning,” in Proc. Conf. Assoc. Comput. Linguistics, 2022,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pp. 8410–8423.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