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[28] M. Wigan, ‘‘Cyber security and securing subjective patient quality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engagements in medical applications: AI and vulnerabilities,’’ IEEE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Trans. Technol. Soc., vol. 3, no. 3, pp. 185–188, Sep. 2022.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[23] H. C. Tanuwidjaja, R. Choi, S. Baek, and K. Kim, ‘‘Privacy-preserving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deep learning on machine learning as a service—A comprehensive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survey,’’ IEEE Access, vol. 8, pp. 167425–167447, 2020.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[10] Q. Zhang, C. Xin, and H. Wu, ‘‘Privacy-preserving deep learning based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multiparty secure computation: A survey,’’ IEEE Internet Things J.,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vol. 8, no. 13, pp. 10412–10429, Jul. 2021.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[25] H. Sun, T. Zhu, Z. Zhang, D. Jin, P. Xiong, and W. Zhou, ‘‘Adversarial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attacks against deep generative models on data: A survey,’’ IEEE Trans.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Knowl. Data Eng., vol. 35, no. 4, pp. 3367–3388, Apr. 2023.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[26] W. Shahid, Y. Li, D. Staples, G. Amin, S. Hakak, and A. Ghorbani, ‘‘Are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a cyborg, bot or human—A survey on detecting fake news spreaders,’’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IEEE Access, vol. 10, pp. 27069–27083, 2022.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[27] K. Michael, R. Abbas, and G. Roussos, ‘‘AI in cybersecurity: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paradox,’’ IEEE Trans. Technol. Soc., vol. 4, no. 2, pp. 104–109,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Jun. 2023.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