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[4] T. Gu, K. Liu, B. Dolan-Gavitt, and S. Garg, “Badnets: Evaluating back-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dooring attacks on deep neural networks,” IEEE Access, vol. 7, pp. 47230–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47244, 2019, doi: 10.1109/ACCESS.2019.2909068.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[5] Y. Liu et al., “Trojaning attack on neural networks,” in Proc. 25th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Annu. Netw. Distrib. Syst. Secur. Symp., 2018. [Online]. Available: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http://wp.internetsociety.org/ndss/wp-content/uploads/sites/25/2018/02/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ndss2018_03A-5_Liu_paper.pdf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[8] F. Qi et al., “Hidden killer: Invisible textual backdoor attacks with syn-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tactic trigger,” in Proc. 59th Annu. Meeting Assoc. Comput. Linguis-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tics 11th Int. Joint Conf. Natural Lang. Process., 2021, pp. 443–453,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doi: 10.18653/v1/2021.acl-long.37.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[9] F. Qi, Y. Chen, X. Zhang, M. Li, Z. Liu, and M. Sun, “Mind the style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text! adversarial and backdoor attacks based on text style transfer,” in Proc.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Conf. Empirical Methods Natural Lang. Process., 2021, pp. 4569–4580,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doi: 10.18653/v1/2021.emnlp-main.374.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[7] F. Qi, Y. Chen, M. Li, Y. Yao, Z. Liu, and M. Sun, “ONION: A simple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effective defense against textual backdoor attacks,” in Proc. 2021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Conf. Empirical Methods Natural Lang. Process., 2021, pp. 9558–9566,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doi: 10.18653/v1/2021.emnlp-main.752.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[14] S. Li et al., “Hidden backdoors in human-centric language mod-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els,” in Proc. ACM SIGSAC Conf. Comput. Commun. Secur., 2021,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pp. 3123–3140, doi: 10.1145/3460120.3484576.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[15] S. Hochreiter and J. Schmidhuber, “Long short-term mem-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ory,” Neural Comput., vol. 9, no. 8, pp. 1735–1780, 1997,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doi: 10.1162/neco.1997.9.8.1735.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[17] X. Chen, C. Liu, B. Li, K. Lu, and D. Song, “Targeted backdoor attacks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deep learning systems using data poisoning,” 2017, arXiv:1712.05526.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[18] Y. Liu, X. Ma, J. Bailey, and F. Lu, “Reflection backdoor: A natural back-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door attack on deep neural networks,” in Proc. 16th Eur. Conf. Comput.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Vis., 2020, pp. 182–199, doi: 10.1007/978-3-030-58607-2_11.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[19] A. Turner, D. Tsipras, and A. Madry, “Label-consistent backdoor attacks,”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2019, arXiv:1912.02771.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[20] S. Cheng, Y. Liu, S. Ma, and X. Zhang, “Deep feature space trojan attack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of neural networks by controlled detoxification,” in Proc. 35th AAAI Conf.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Artif. Intell., 33rd Conf. Innov. Appl. Artif. Intell., 11th Symp. Educ. Adv.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Artif. Intell., 2021, pp. 1148–1156. [Online]. Available: https://ojs.aaai.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org/index.php/AAAI/article/view/16201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[21] J. Dumford and W. J. Scheirer, “Backdooring convolutional neural net-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works via targeted weight perturbations,” in Proc. IEEE Int. Joint Conf.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Biometrics, 2020, pp. 1–9, doi: 10.1109/IJCB48548.2020.9304875.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[22] A. S. Rakin, Z. He, and D. Fan, “TBT: Targeted neural network attack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bit trojan,” in Proc. IEEE/CVF Conf. Comput. Vis. Pattern Recognit.,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Jun. 2020, pp. 13195–13204.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[23] Y. Li, J. Hua, H. Wang, C. Chen, and Y. Liu, “Deeppayload: Black-box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backdoor attack on deep learning models through neural payload injec-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tion,” in Proc. IEEE/ACM 43rd Int. Conf. Softw. Eng., 2021, pp. 263–274,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doi: 10.1109/ICSE43902.2021.00035.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[24] J. Dai, C. Chen, and Y. Li, “A backdoor attack against LSTM-based text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classification systems,” IEEE Access, vol. 7, pp. 138872–138878, 2019,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doi: 10.1109/ACCESS.2019.2941376.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[25] K. Kurita, P. Michel, and G. Neubig, “Weight poisoning attacks on pre-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trained models,” in Proc. 58th Annu. Meeting Assoc. Comput. Linguistics,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2020, pp. 2793–2806, doi: 10.18653/v1/2020.acl-main.249.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[27] X. Pan, M. Zhang, B. Sheng, J. Zhu, and M. Yang, “Hidden trigger back-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door attack on NLP models via linguistic style manipulation,” in Proc. 31st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USENIX Secur. Symp., 2022, pp. 3611–3628. [Online]. Available: https: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//www.usenix.org/conference/usenixsecurity22/presentation/pan-hidden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[28] C. Chen and J. Dai, “Mitigating backdoor attacks in LSTM-based text clas-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sification systems by backdoor keyword identification,” Neurocomputing,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vol. 452, pp. 253–262, 2021, doi: 10.1016/j.neucom.2021.04.105.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[29] C. Fan et al., “Defending against backdoor attacks in natural language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generation,” 2021, arXiv:2106.01810.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[30] K. Shao, J. Yang, Y. Ai, H. Liu, and Y. Zhang, “BDDR: An effective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defense against textual backdoor attacks,” Comput. Secur., vol. 110, 2021,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Art. no. 102433, doi: 10.1016/j.cose.2021.102433.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