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[3] C.-W. Goo et al., “Slot-gated modeling for joint slot filling and intent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prediction,” in Proc. Conf. North Amer. Chapter Assoc. Comput. Lin-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guistics: Hum. Lang. Technol., New Orleans, Louisiana, Association for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Computational Linguistics, 2018, pp. 753–757.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[4] C. Li, L. Li, and J. Qi, “A self-attentive model with gate mechanism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spoken language understanding,” in Proc. Conf. Empirical Methods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Natural Lang. Process., Brussels, Belgium, Association for Computational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Linguistics, 2018, pp. 3824–3833.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[5] Y. Liu, F. Meng, J. Zhang, J. Zhou, Y. Chen, and J. Xu, “CM-Net: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novel collaborative memory network for spoken language understand-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ing,” in Proc. Conf. Empirical Methods Natural Lang. Process. 9th Int.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Joint Conf. Natural Lang. Process., Hong Kong, China, Association for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Computational Linguistics, 2019, pp. 1051–1060.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[6] H. E., P. Niu, Z. Chen, and M. Song, “A novel bi-directional interrelated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 for joint intent detection and slot filling,” in Proc. 57th Annu.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Meeting Assoc. Comput. Linguistics, Florence, Italy, Association for Com-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putational Linguistics, 2019, pp. 5467–5471.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[7] L. Qin, W. Che, Y. Li, H. Wen, and T. Liu, “A stack-propagation framework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with token-level intent detection for spoken language understanding,” 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Proc. Conf. Empirical Methods Natural Lang. Process. 9th Int. Joint Conf.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Natural Lang. Process., Hong Kong, China, Association for Computa-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tional Linguistics, 2019, pp. 2078–2087.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[8] B. Kim, S. Ryu, and G. G. Lee, “Two-stage multi-intent detection for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spoken language understanding,” Multimedia Tools Appl., vol. 76, no. 9,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pp. 11377–11390, 2017.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[9] R. Gangadharaiah and B. Narayanaswamy, “Joint multiple intent detec-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tion and slot labeling for goal-oriented dialog,” in Proc. Conf. North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Amer. Chapter Assoc. Comput. Linguistics: Hum. Lang. Technol., Min-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neapolis, Minnesota: Association for Computational Linguistics, 2019,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pp. 564–569.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[10] L. Qin, X. Xu, W. Che, and T. Liu, “AGIF: An adaptive graph-interactive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framework for joint multiple intent detection and slot filling,” in Proc.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Findings Assoc. Comput. Linguistics: EMNLP, 2020, pp. 1807–1816.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[12] L. Qin, F. Wei, T. Xie, X. Xu, W. Che, and T. Liu, “GL-GIN: Fast 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accurate non-autoregressive model for joint multiple intent detection 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slot filling,” in Proc. 59th Annu. Meeting Assoc. Comput. Linguistics 11th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Int. Joint Conf. Natural Lang. Process., Association for Computational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Linguistics, 2021, pp. 178–188.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[14] X. Zhang and H. Wang, “A joint model of intent determination and slot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filling for spoken language understanding,” in Proc. 25th Int. Joint Conf.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Artif. Intell., New York, NY, USA, 2016, pp. 2993–2999.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[15] D. Hakkani-Tür et al., “Multi-domain joint semantic frame parsing us-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ing bi-directional RNN-LSTM,” in Proc. 17th Annu. Conf. Int. Speech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Commun. Assoc., 2016, pp. 715–719.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[16] C. Zhang, Y. Li, N. Du, W. Fan, and P. Yu, “Joint slot filling and intent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detection via capsule neural networks,” in Proc. 57th Annu. Meeting As-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soc. Comput. Linguistics, Florence, Italy, Association for Computational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Linguistics, 2019, pp. 5259–5267.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[17] D. Wu, L. Ding, F. Lu, and J. Xie, “SlotRefine: A fast non-autoregressive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 for joint intent detection and slot filling,” in Proc. Conf. Empirical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Methods Natural Lang. Process., Association for Computational Linguis-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tics, 2020, pp. 1932–1937.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[18] L. Qin, T. Liu, W. Che, B. Kang, S. Zhao, and T. Liu, “A co-interactive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transformer for joint slot filling and intent detection,” in Proc. IEEE Int.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Conf. Acoust., Speech Signal Process., 2021, pp. 8193–8197.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[19] J. Ni, T. Young, V. Pandelea, F. Xue, V. Adiga, and E. Cambria, “Recent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advances in deep learning based dialogue systems: A systematic survey,”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2021, arXiv:2105.04387.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[20] Y. Cao, Z. Liu, C. Li, Z. Liu, J. Li, and T.-S. Chua, “Multi-channel graph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neural network for entity alignment,” in Proc. 57th Annu. Meeting As-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soc. Comput. Linguistics, Florence, Italy, Association for Computational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Linguistics, 2019, pp. 1452–1461.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[21] K. Wang, W. Shen, Y. Yang, X. Quan, and R. Wang, “Relational graph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attention network for aspect-based sentiment analysis,” in Proc. 58th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Annu. Meeting Assoc. Comput. Linguistics, Association for Computational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Linguistics, 2020, pp. 3229–3238.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[22] J. Shi, S. Cao, L. Hou, J. Li, and H. Zhang, “TransferNet: An effective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 transparent framework for multi-hop question answering over relation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graph,” in Proc. Conf. Empirical Methods Natural Lang. Process., Punta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Cana, Dominican Republic:Association for Computational Linguistics,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2021, pp. 4149–4158.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[23] B. Xing and I.W. Tsang, “Understand me, if you refer to aspect knowledge: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Knowledge-aware gated recurrent memory network,” IEEE Trans. Emerg.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Topics Comput. Intell., vol. 6, no. 5, pp. 1092–1102, Oct. 2022.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[24] B. Xing and I. Tsang, “DARER: Dual-task temporal relational recurrent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reasoning network for joint dialog sentiment classification and act recog-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nition,” in Proc. Findings Assoc. Comput. Linguistics. Dublin, Ireland,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Association for Computational Linguistics, May 2022, pp. 3611–3621.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[25] B. Xing and I. Tsang, “DigNet: Digging clues from local-global interactive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graph for aspect-level sentiment classification,” 2022, arXiv:2201.00989.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[26] C. Zhang, Q. Li, and D. Song, “Aspect-based sentiment classification with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aspect-specific graph convolutional networks,” in Proc. Conf. Empirical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Methods Natural Lang. Process. 9th Int. Joint Conf. Natural Lang. Pro-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cess., 2019, pp. 4568–4578.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[27] B. Xing and I. Tsang, “Neural subgraph explorer: Reducing noisy infor-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mation via target-oriented syntax graph pruning,” in Proc. 31st Int. Joint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Conf. Artif. Intell., 2022, pp. 4425–4431.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[28] B. Xing and I. W. Tsang, “Co-evolving graph reasoning network for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emotion-cause pair extraction,” in Proc. Joint Eur. Conf. Mach. Learn.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Knowl. Discov. Databases: Res. Track, Cham, Switzerland, Springer Na-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ture, 2023, pp. 305–322.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[29] B. Xing and I. W. Tsang, “Relational temporal graph reasoning for dual-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task dialogue language understanding,” IEEE Trans. Pattern Anal. Mach.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Intell., vol. 45, no. 11, pp. 13170–13184, Nov. 2023.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[30] M. S. Schlichtkrull et al., “Modeling relational data with graph convolu-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tional networks,” inProc. Semantic Web 15th Int. Conf., 2018, pp. 593–607.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[31] B. Xing and I. Tsang, “Group is better than individual: Exploiting label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topologies and label relations for joint multiple intent detection and slot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filling,” in Proc. Conf. Empirical Methods Natural Lang. Process., Abu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Dhabi, United Arab Emirates, Association for Computational Linguistics,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2022, pp. 3964–3975. [Online]. Available: https://aclanthology.org/2022.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emnlp-main.263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[32] D. Zhang et al., “Pairwise supervised contrastive learning of sentence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representations,” in Proc. Conf. Empirical Methods Natural Lang. Pro-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cess., Punta Cana, Dominican Republic, Association for Computational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Linguistics, 2021, pp. 5786–5798.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[33] Y. Zhou, P. Liu, and X. Qiu, “KNN-contrastive learning for out-of-domain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intent classification,” in Proc. 60th Annu. Meeting Assoc. Comput. Linguis-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tics, Dublin, Ireland, Association for Computational Linguistics, 2022,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pp. 5129–5141.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[34] Z. Wang, P. Wang, L. Huang, X. Sun, and H. Wang, “Incorporating hierar-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chy into text encoder: A contrastive learning approach for hierarchical text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classification,” in Proc. 60th Annu. Meeting Assoc. Comput. Linguistics,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2022, pp. 7109–7119.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[35] L. Qin et al., “GL-CLeF: A global–local contrastive learning framework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for cross-lingual spoken language understanding,” in Proc. 60th Annu.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Meeting Assoc. Comput. Linguistics, Dublin, Ireland, Association for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Computational Linguistics, 2022, pp. 2677–2686.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