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[37] S. Primario, P. Rippa, and G. Secundo, “Rethinking entrepreneurial educa-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tion: The role of digital technologies to assess entrepreneurial self-efficacy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intention of stem students,” IEEE Trans. Eng. Manage., vol. 71,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pp. 2829–2842, 2022, doi: 10.1109/TEM.2022.3199709.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[38] H. Ma, C. Lang, Y. Liu, and Y. Gao, “Constructing a hierarchical frame-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 for assessing the application of Big Data technology in entrepreneur-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ship education,” Front. Psychol., vol. 11, 2020, Art. no. 551389.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[39] N. A. Zulkefly, N. A. Ghani, S. Hamid, M. Ahmad, and B. B. Gupta,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“Harness the global impact of Big Data in nurturing social entrepreneur-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ship: A systematic literature review,” J. Glob. Inf. Manage., vol. 29, no. 6,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pp. 1–19, 2021.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[40] S. Vorbach, E. Poandl, and I. Korajman, “Digital entrepreneurship: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MOOCs in entrepreneurship education the case of Graz University of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Technology,” in Proc. 21st Int. Conf. Interactive Collaborative Learn.,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Challenges Digit. Transformation Educ., 2019, vol. 2, pp. 545–555.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[41] L. Cassia, A. De Massis, M. Meoli, and T. Minola, “Entrepreneur-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ship research centers around the world: Research orientation, knowledge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transfer and performance,” J. Technol. Transfer, vol. 39, pp. 376–392,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2014.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[42] G. Secundo, P. Rippa, and R. Cerchione, “Digital academic entrepreneur-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ship: A structured literature review and avenue for a research agenda,”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Technological Forecasting Social Change, vol. 157, 2020, Art. no. 120118.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[43] J. Balsa, L. Neves, M. B. Carmo, and A. P. Cláudio, “Question &amp; answering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interface to improve the students’ experience in an e-learning course with 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virtual tutor,” inProc. 3rd EAI Int. Conf. Technol., Innov., Entrepreneurship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Educ., 2020, pp. 45–54.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[44] A. Hadifar, S. K. Bitew, J. Deleu, C. Develder, and T. Demeester, “EduQG: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multi-format multiple-choice dataset for the educational domain,” IEEE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Access, vol. 11, pp. 20885–20896, 2023.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[45] S. Minaee, N. Kalchbrenner, E. Cambria, N. Nikzad, M. Chenaghlu, and J.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Gao, “Deep learning-based text classification: A comprehensive review,”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ACM Comput. Surv., vol. 54, no. 3, pp. 1–40, 2021.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[46] J. T. Jost, “A quarter century of system justification theory: Questions,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answers, criticisms, and societal applications,” Brit. J. Social Psychol.,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vol. 58, no. 2, pp. 263–314, 2019.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[47] W. Xiong et al., “Answering complex open-domain questions with multi-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hop dense retrieval,” in Proc. 9th Int. Conf. Learn. Representations,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Austria, May 3–7, 2021.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[48] Y. Zhu, L. Pang, Y. Lan, H. Shen, and X. Cheng, “Adaptive information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seeking for open-domain question answering,” in Proc. Conf. Empirical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Methods Natural Lang. Process., 2021, pp. 3615–3626. [Online]. Avail-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able: https://aclanthology.org/2021.emnlp-main.293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[49] Y. Qiu et al., “Hierarchical query graph generation for complex question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answering over knowledge graph,” inProc. 29th ACM Int. Conf. Inf. Knowl.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Manage., 2020, pp. 1285–1294.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[50] Y. Zhang, H. Dai, Z. Kozareva, A. Smola, and L. Song, “Variational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reasoning for question answering with knowledge graph,”Proc. 32nd AAAI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Conf. Artif. Intell., vol. 32, no. 1, pp. 6069–6076, Feb. 2-7, 2018.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[51] H. Xiong, S. Wang, M. Tang, L. Wang, and X. Lin, “Knowledge graph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question answering with semantic oriented fusion model,” Knowl.-Based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Syst., vol. 221, 2021, Art. no. 106954.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[52] S. Shin and K.-H. Lee, “Processing knowledge graph-based complex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questions through question decomposition and recomposition,” Inf. Sci.,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vol. 523, pp. 234–244, 2020.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[53] M. Jenders, R. Krestel, and F. Naumann, “Which answer is best? Predicting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accepted answers in MOOC forums,” in Proc. 25th Int. Conf. Companion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World Wide Web, 2016, pp. 679–684.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[54] J. Macina, I. Srba, J. J. Williams, and M. Bielikova, “Educational ques-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tion routing in online student communities,” in Proc. 11th ACM Conf.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Recommender Syst., 2017, pp. 47–55.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[55] A. Mittal, L. Vigentini, M. Djatmiko, G. Prusty, Y. Sharma, and M. 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King, “MOOC-O-Bot: Using cognitive technologies to extend knowledge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support in MOOCs,” inProc. IEEE Int. Conf. Teaching, Assessment, Learn.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Eng., 2018, pp. 69–76.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[56] P. Babinec and I. Srba, “Education-specific tag recommendation in CQA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systems,” in Proc. Adjunct Publication 25th Conf. User Model., Adapt.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Personalization, 2017, pp. 281–286.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[57] Q. Xie, G. Lai, Z. Dai, and E. Hovy, “Large-scale cloze test dataset created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by teachers,” in Proc. Conf. Empirical Methods Natural Lang. Process.,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2018, pp. 2344–2356.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[58] G. Lai, Q. Xie, H. Liu, Y. Yang, and E. Hovy, “RACE: Large-scale ReAding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comprehension dataset from examinations,” in Proc. Conf. Empirical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Methods Natural Lang. Process., 2017, pp. 785–794.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[59] W. Yu, Z. Jiang, Y. Dong, and J. Feng, “ReClor: A reading comprehen-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sion dataset requiring logical reasoning,” in Proc. 8th Int. Conf. Learn.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Representations, Addis Ababa, Ethiopia, Apr. 26th-May Ist, 2020.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[60] G. Chen, J. Yang, C. Hauff, and G.-J. Houben, “Learningq: A large-scale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dataset for educational question generation,” Proc. 12th Int. AAAI Conf.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Web Social Media, vol. 12, no. 1, pp. 481–490 Jun. 25-28, 2018.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[61] P. Clark et al., “Think you have solved question answering? Try arc, the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AI2 reasoning challenge,” Allen Inst. Artif. Intell., Seattle, WA, USA,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2018.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[62] J. Yu et al., “MOOCCube: A large-scale data repository for NLP applica-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tions in MOOCs,” inProc. 58th Annu. Meeting Assoc. Comput. Linguistics,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Jul. 2020, pp. 3135–3142.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