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Cited papers in related work –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[4] X. Qiu, T. Sun, Y. Xu, Y. Shao, N. Dai, and X. Huang, “Pre-trained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models for natural language processing: A survey,” Sci. China Technol.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Sci., vol. 63, no. 10, pp. 1872–1897, 2020.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[7] L. Li, Y. Lin, N. Zheng, and F.-Y. Wang, “Parallel learning: A per-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spective and a framework,” IEEE/CAA J. Autom. Sinica, vol. 4, no. 3,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pp. 389–395, Jul. 2017.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[16] F.-Y. Wang, X. Wang, L. Li, and L. Li, “Steps toward parallel intel-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ligence,” IEEE/CAA J. Autom. Sinica, vol. 3, no. 4, pp. 345–348,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Oct. 2016.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[17] </w:t>
      </w:r>
      <w:r w:rsidDel="00000000" w:rsidR="00000000" w:rsidRPr="00000000">
        <w:rPr>
          <w:b w:val="1"/>
          <w:rtl w:val="0"/>
        </w:rPr>
        <w:t xml:space="preserve">F.-Y. Wang, “Artificial societies, computational experiments, and parallel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systems: A discussion on computational theory of complex social-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economic systems,” Complex Syst. Complex. Sci., vol. 1, no. 4,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pp. 25–35, 2004.</w:t>
      </w:r>
    </w:p>
    <w:p w:rsidR="00000000" w:rsidDel="00000000" w:rsidP="00000000" w:rsidRDefault="00000000" w:rsidRPr="00000000" w14:paraId="00000018">
      <w:pPr>
        <w:rPr>
          <w:color w:val="ff0000"/>
        </w:rPr>
      </w:pPr>
      <w:r w:rsidDel="00000000" w:rsidR="00000000" w:rsidRPr="00000000">
        <w:rPr>
          <w:rtl w:val="0"/>
        </w:rPr>
        <w:t xml:space="preserve">[18] </w:t>
      </w:r>
      <w:r w:rsidDel="00000000" w:rsidR="00000000" w:rsidRPr="00000000">
        <w:rPr>
          <w:color w:val="ff0000"/>
          <w:rtl w:val="0"/>
        </w:rPr>
        <w:t xml:space="preserve">F. Fei-Yue, “Parallel system methods for management and control of</w:t>
      </w:r>
    </w:p>
    <w:p w:rsidR="00000000" w:rsidDel="00000000" w:rsidP="00000000" w:rsidRDefault="00000000" w:rsidRPr="00000000" w14:paraId="00000019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complex systems,” Control Decis., vol. 19, no. 5, pp. 485–489, 2004.</w:t>
      </w:r>
    </w:p>
    <w:p w:rsidR="00000000" w:rsidDel="00000000" w:rsidP="00000000" w:rsidRDefault="00000000" w:rsidRPr="00000000" w14:paraId="0000001A">
      <w:pPr>
        <w:rPr>
          <w:color w:val="ff0000"/>
        </w:rPr>
      </w:pPr>
      <w:r w:rsidDel="00000000" w:rsidR="00000000" w:rsidRPr="00000000">
        <w:rPr>
          <w:rtl w:val="0"/>
        </w:rPr>
        <w:t xml:space="preserve">[19]</w:t>
      </w:r>
      <w:r w:rsidDel="00000000" w:rsidR="00000000" w:rsidRPr="00000000">
        <w:rPr>
          <w:color w:val="ff0000"/>
          <w:rtl w:val="0"/>
        </w:rPr>
        <w:t xml:space="preserve"> F.-Y. Wang, “Computational theory and methods for complex systems,”</w:t>
      </w:r>
    </w:p>
    <w:p w:rsidR="00000000" w:rsidDel="00000000" w:rsidP="00000000" w:rsidRDefault="00000000" w:rsidRPr="00000000" w14:paraId="0000001B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China Basic Sci., vol. 6, no. 41, pp. 3–10, 2004. </w:t>
      </w:r>
    </w:p>
    <w:p w:rsidR="00000000" w:rsidDel="00000000" w:rsidP="00000000" w:rsidRDefault="00000000" w:rsidRPr="00000000" w14:paraId="0000001C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[20] </w:t>
      </w:r>
      <w:r w:rsidDel="00000000" w:rsidR="00000000" w:rsidRPr="00000000">
        <w:rPr>
          <w:rtl w:val="0"/>
        </w:rPr>
        <w:t xml:space="preserve">F.-Y. Wang, “The emergence of intelligent enterprises: From CPS to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CPSS,” IEEE Intell. Syst., vol. 25, no. 4, pp. 85–88, Jul. 2010.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[21]</w:t>
      </w:r>
      <w:r w:rsidDel="00000000" w:rsidR="00000000" w:rsidRPr="00000000">
        <w:rPr>
          <w:color w:val="ff0000"/>
          <w:rtl w:val="0"/>
        </w:rPr>
        <w:t xml:space="preserve"> </w:t>
      </w:r>
      <w:r w:rsidDel="00000000" w:rsidR="00000000" w:rsidRPr="00000000">
        <w:rPr>
          <w:rtl w:val="0"/>
        </w:rPr>
        <w:t xml:space="preserve">X. Li, P. Ye, J. Li, Z. Liu, L. Cao, and F.-Y. Wang, “From features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engineering to scenarios engineering for trustworthy AI: I&amp;I, C&amp;C, and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V&amp;V,” IEEE Intell. Syst., vol. 37, no. 4, pp. 18–26, Jul. 2022.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[22]</w:t>
      </w:r>
      <w:r w:rsidDel="00000000" w:rsidR="00000000" w:rsidRPr="00000000">
        <w:rPr>
          <w:rtl w:val="0"/>
        </w:rPr>
        <w:t xml:space="preserve"> Q. Miao, Y. Lv, M. Huang, X. Wang, and F.-Y. Wang, “Parallel learning: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Overview and perspective for computational learning across Syn2Real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and Sim2Real,” IEEE/CAA J. Autom. Sinica, vol. 10, no. 3, pp. 603–631,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Mar. 2023.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[23] X. Li et al., “A novel framework to generate synthetic video for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foreground detection in highway surveillance scenarios,” IEEE Trans.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Intell. Transp. Syst., vol. 24, no. 6, pp. 5958–5970, Jun. 2023.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[24] X. Li, Y. Tian, P. Ye, H. Duan, and F.-Y. Wang, “A novel scenarios engi-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neering methodology for foundation models in metaverse,” IEEE Trans.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Syst., Man, Cybern., Syst., vol. 53, no. 4, pp. 2148–2159, Apr. 2023.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[25] J. Devlin, M.-W. Chang, K. Lee, and K. Toutanova, “BERT: Pre-training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of deep bidirectional transformers for language understanding,” 2018,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arXiv:1810.04805.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[26] T. Brown et al., “Language models are few-shot learners,” in Proc. Adv.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Neural Inf. Process. Syst., vol. 33, 2020, pp. 1877–1901.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[27] H. Touvron et al., “LLaMA: Open and efficient foundation language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models,” 2023, arXiv:2302.13971.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[28]</w:t>
      </w:r>
      <w:r w:rsidDel="00000000" w:rsidR="00000000" w:rsidRPr="00000000">
        <w:rPr>
          <w:rtl w:val="0"/>
        </w:rPr>
        <w:t xml:space="preserve"> C. Raffel et al., “Exploring the limits of transfer learning with a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unified text-to-text transformer,” J. Mach. Learn. Res., vol. 21, no. 1,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pp. 5485–5551, 2020.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[29] J. Wei et al., “Emergent abilities of large language models,” 2022,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arXiv:2206.07682.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[30] J. Wei et al., “Chain-of-thought prompting elicits reasoning in large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language models,” in Proc. Adv. Neural Inf. Process. Syst., vol. 35, 2022,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pp. 24824–24837.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[31] T. Kojima et al., “Large language models are zero-shot reasoners,” in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Proc. Adv. Neural Inf. Process. Syst., vol. 35, 2022, pp. 22199–22213.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[32] Q. Dong et al., “A survey on in-context learning,” 2022,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arXiv:2301.00234.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[33] S. Min et al., “Rethinking the role of demonstrations: What makes in-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context learning work?” 2022, arXiv:2202.12837.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[34] P. Liu, W. Yuan, J. Fu, Z. Jiang, H. Hayashi, and G. Neubig, “Pre-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train, prompt, and predict: A systematic survey of prompting methods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in natural language processing,” ACM Comput. Surv., vol. 55, no. 9,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pp. 1–35, Sep. 2023.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[35] X. L. Li and P. Liang, “Prefix-tuning: Optimizing continuous prompts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for generation,” in Proc. 59th Annu. Meeting Assoc. Comput. Linguistics,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11th Int. Joint Conf. Natural Lang. Process., 2021, pp. 4582–4597.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[36] X. Han, W. Zhao, N. Ding, Z. Liu, and M. Sun, “PTR: Prompt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tuning with rules for text classification,” AI Open, vol. 3, pp. 182–192,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Jan. 2022.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[37] G. Qin and J. Eisner, “Learning how to ask: Querying LMs with mixtures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of soft prompts,” in Proc. Conf. North Amer. Chapter Assoc. Comput.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Linguistics, Hum. Lang. Technol., 2021, pp. 5203–5212.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[38] D. Khashabi et al., “UNIFIEDQA: Crossing format boundaries with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a single QA system,” in Proc. Findings Assoc. Comput. Linguistics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(EMNLP), 2020, pp. 1896–1907.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[39] X. Liu et al., “GPT understands, too,” 2021, arXiv:2103.10385.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[40] R. Zhong, K. Lee, Z. Zhang, and D. Klein, “Adapting language models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for zero-shot learning by meta-tuning on dataset and prompt collec-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tions,” in Proc. Findings Assoc. Comput. Linguistics (EMNLP), 2021,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pp. 2856–2878.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[41] H. Xu et al., “ZeroPrompt: Scaling prompt-based pretraining to 1,000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tasks improves zero-shot generalization,” 2022, arXiv:2201.06910.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[42] V. Sanh et al., “Multitask prompted training enables zero-shot task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generalization,” in Proc. 10th Int. Conf. Learn. Represent. (ICLR), 2022,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p. 216.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[43] H. W. Chung et al., “Scaling instruction-finetuned language models,”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2022, arXiv:2210.11416.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[44] D. M. Ziegler et al., “Fine-tuning language models from human prefer-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ences,” 2019, arXiv:1909.08593.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[45] J. Wu et al., “Recursively summarizing books with human feedback,”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2021, arXiv:2109.10862.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