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2025-08-23 14:43</w:t>
      </w:r>
    </w:p>
    <w:p>
      <w:r>
        <w:t>Data Period: 2025-02-20 to 2025-02-28</w:t>
      </w:r>
    </w:p>
    <w:p>
      <w:r>
        <w:t>Total Records: 138</w:t>
      </w:r>
    </w:p>
    <w:p>
      <w:r>
        <w:t>Cobble Events: 69 (50.00%)</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0.83</w:t>
            </w:r>
          </w:p>
        </w:tc>
        <w:tc>
          <w:tcPr>
            <w:tcW w:type="dxa" w:w="1728"/>
          </w:tcPr>
          <w:p>
            <w:r>
              <w:t>0.8</w:t>
            </w:r>
          </w:p>
        </w:tc>
        <w:tc>
          <w:tcPr>
            <w:tcW w:type="dxa" w:w="1728"/>
          </w:tcPr>
          <w:p>
            <w:r>
              <w:t>0.75</w:t>
            </w:r>
          </w:p>
        </w:tc>
        <w:tc>
          <w:tcPr>
            <w:tcW w:type="dxa" w:w="1728"/>
          </w:tcPr>
          <w:p>
            <w:r>
              <w:t>0.77</w:t>
            </w:r>
          </w:p>
        </w:tc>
      </w:tr>
      <w:tr>
        <w:tc>
          <w:tcPr>
            <w:tcW w:type="dxa" w:w="1728"/>
          </w:tcPr>
          <w:p>
            <w:r>
              <w:t>C</w:t>
            </w:r>
          </w:p>
        </w:tc>
        <w:tc>
          <w:tcPr>
            <w:tcW w:type="dxa" w:w="1728"/>
          </w:tcPr>
          <w:p>
            <w:r>
              <w:t>0.76</w:t>
            </w:r>
          </w:p>
        </w:tc>
        <w:tc>
          <w:tcPr>
            <w:tcW w:type="dxa" w:w="1728"/>
          </w:tcPr>
          <w:p>
            <w:r>
              <w:t>0.76</w:t>
            </w:r>
          </w:p>
        </w:tc>
        <w:tc>
          <w:tcPr>
            <w:tcW w:type="dxa" w:w="1728"/>
          </w:tcPr>
          <w:p>
            <w:r>
              <w:t>0.71</w:t>
            </w:r>
          </w:p>
        </w:tc>
        <w:tc>
          <w:tcPr>
            <w:tcW w:type="dxa" w:w="1728"/>
          </w:tcPr>
          <w:p>
            <w:r>
              <w:t>0.73</w:t>
            </w:r>
          </w:p>
        </w:tc>
      </w:tr>
      <w:tr>
        <w:tc>
          <w:tcPr>
            <w:tcW w:type="dxa" w:w="1728"/>
          </w:tcPr>
          <w:p>
            <w:r>
              <w:t>D</w:t>
            </w:r>
          </w:p>
        </w:tc>
        <w:tc>
          <w:tcPr>
            <w:tcW w:type="dxa" w:w="1728"/>
          </w:tcPr>
          <w:p>
            <w:r>
              <w:t>0.95</w:t>
            </w:r>
          </w:p>
        </w:tc>
        <w:tc>
          <w:tcPr>
            <w:tcW w:type="dxa" w:w="1728"/>
          </w:tcPr>
          <w:p>
            <w:r>
              <w:t>0.87</w:t>
            </w:r>
          </w:p>
        </w:tc>
        <w:tc>
          <w:tcPr>
            <w:tcW w:type="dxa" w:w="1728"/>
          </w:tcPr>
          <w:p>
            <w:r>
              <w:t>0.75</w:t>
            </w:r>
          </w:p>
        </w:tc>
        <w:tc>
          <w:tcPr>
            <w:tcW w:type="dxa" w:w="1728"/>
          </w:tcPr>
          <w:p>
            <w:r>
              <w:t>0.81</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139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1397"/>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84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8476"/>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24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2485"/>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35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3590"/>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845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8456"/>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92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9219"/>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876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8769"/>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5766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57666"/>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886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88620"/>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886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88620"/>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921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2709219"/>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7676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476766"/>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262485"/>
                    </a:xfrm>
                    <a:prstGeom prst="rect"/>
                  </pic:spPr>
                </pic:pic>
              </a:graphicData>
            </a:graphic>
          </wp:inline>
        </w:drawing>
      </w:r>
    </w:p>
    <w:p/>
    <w:p>
      <w:r>
        <w:t>Average time between cobble events: 3.12 hours</w:t>
      </w:r>
    </w:p>
    <w:p>
      <w:r>
        <w:t>Median time between cobble events: 1.92 hours</w:t>
      </w:r>
    </w:p>
    <w:p>
      <w:r>
        <w:t>Maximum time between cobble events: 20.05 hours</w:t>
      </w:r>
    </w:p>
    <w:p>
      <w:r>
        <w:t>Minimum time between cobble events: 0.03 hours</w:t>
      </w:r>
    </w:p>
    <w:p>
      <w:r>
        <w:t>Percentage of cobble events followed by another cobble event within 12 hours: 97.06%</w:t>
      </w:r>
    </w:p>
    <w:p>
      <w:pPr>
        <w:pStyle w:val="Heading2"/>
      </w:pPr>
      <w:r>
        <w:t>Block Transition Patterns in Consecutive Cobble Events</w:t>
      </w:r>
    </w:p>
    <w:p>
      <w:r>
        <w:t>D → D: 15 occurrences</w:t>
      </w:r>
    </w:p>
    <w:p>
      <w:r>
        <w:t>C → D: 13 occurrences</w:t>
      </w:r>
    </w:p>
    <w:p>
      <w:r>
        <w:t>D → C: 12 occurrences</w:t>
      </w:r>
    </w:p>
    <w:p>
      <w:r>
        <w:t>C → C: 12 occurrences</w:t>
      </w:r>
    </w:p>
    <w:p>
      <w:r>
        <w:t>D → B: 6 occurrences</w:t>
      </w:r>
    </w:p>
    <w:p>
      <w:r>
        <w:t>B → D: 5 occurrences</w:t>
      </w:r>
    </w:p>
    <w:p>
      <w:r>
        <w:t>B → B: 2 occurrences</w:t>
      </w:r>
    </w:p>
    <w:p>
      <w:r>
        <w:t>B → C: 2 occurrences</w:t>
      </w:r>
    </w:p>
    <w:p>
      <w:r>
        <w:t>C → B: 1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0845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2708456"/>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(2025-02-20 to 2025-02-28), a total of 69 cobble events were recorded out of 138 observations, representing a 50.00% occurrence rate.</w:t>
      </w:r>
    </w:p>
    <w:p>
      <w:r>
        <w:t>Block-specific analysis reveals that Block D has the highest cobble rate at 65.38%, while Block B shows the lowest at 25.00%.</w:t>
      </w:r>
    </w:p>
    <w:p>
      <w:r>
        <w:t>The Morning (6AM-2PM) shift experiences the highest cobble occurrence rate at 58.14%,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