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5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717"/>
      </w:tblGrid>
      <w:tr w:rsidR="001725FA" w:rsidRPr="001725FA" w14:paraId="4D2A0803" w14:textId="77777777" w:rsidTr="001725FA">
        <w:trPr>
          <w:tblCellSpacing w:w="0" w:type="dxa"/>
        </w:trPr>
        <w:tc>
          <w:tcPr>
            <w:tcW w:w="4250" w:type="pct"/>
            <w:hideMark/>
          </w:tcPr>
          <w:tbl>
            <w:tblPr>
              <w:tblW w:w="5000" w:type="pct"/>
              <w:tblCellSpacing w:w="3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567"/>
            </w:tblGrid>
            <w:tr w:rsidR="001725FA" w:rsidRPr="001725FA" w14:paraId="2887A68C" w14:textId="7777777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14:paraId="2FEB6DBE" w14:textId="77777777" w:rsidR="001725FA" w:rsidRPr="001725FA" w:rsidRDefault="002A583E" w:rsidP="001725F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This survey </w:t>
                  </w:r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is</w:t>
                  </w:r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recorded by the G+I Nuremberg, a subsidiary company of the Gesellschaft </w:t>
                  </w:r>
                  <w:proofErr w:type="spellStart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für</w:t>
                  </w:r>
                  <w:proofErr w:type="spellEnd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Konsumforschung</w:t>
                  </w:r>
                  <w:proofErr w:type="spellEnd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(Society for Consumer Research) within the framework of its household-panel. Description of the variables is given separately (Desc.docx). The data are based on the coffee bargains of 2752 households, which belonged to the panel between 1.1.1988 and 31.12.1990. </w:t>
                  </w:r>
                  <w:proofErr w:type="gramStart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All of</w:t>
                  </w:r>
                  <w:proofErr w:type="gramEnd"/>
                  <w:r w:rsidRPr="002A583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these households were located in former West-Germany, and a total of 130986 bargains was registered.</w:t>
                  </w:r>
                  <w:r w:rsidR="001725FA" w:rsidRPr="001725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29"/>
                  </w:tblGrid>
                  <w:tr w:rsidR="003F4337" w:rsidRPr="001725FA" w14:paraId="5DBB3E60" w14:textId="77777777" w:rsidTr="003F4337">
                    <w:trPr>
                      <w:tblCellSpacing w:w="15" w:type="dxa"/>
                    </w:trPr>
                    <w:tc>
                      <w:tcPr>
                        <w:tcW w:w="4964" w:type="pct"/>
                        <w:shd w:val="clear" w:color="auto" w:fill="DCDCDC"/>
                        <w:vAlign w:val="center"/>
                        <w:hideMark/>
                      </w:tcPr>
                      <w:p w14:paraId="75DDEC32" w14:textId="77777777" w:rsidR="003F4337" w:rsidRPr="001725FA" w:rsidRDefault="003F4337" w:rsidP="001725FA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725F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  <w:lang w:eastAsia="en-IN"/>
                          </w:rPr>
                          <w:t>Description of the covariates</w:t>
                        </w:r>
                      </w:p>
                    </w:tc>
                  </w:tr>
                  <w:tr w:rsidR="001725FA" w:rsidRPr="001725FA" w14:paraId="51AD022B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54C303" w14:textId="77777777" w:rsidR="001725FA" w:rsidRPr="001725FA" w:rsidRDefault="001725FA" w:rsidP="001725F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  <w:tbl>
                        <w:tblPr>
                          <w:tblW w:w="4500" w:type="pct"/>
                          <w:jc w:val="center"/>
                          <w:tblCellSpacing w:w="15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51"/>
                          <w:gridCol w:w="6196"/>
                        </w:tblGrid>
                        <w:tr w:rsidR="001725FA" w:rsidRPr="001725FA" w14:paraId="6D0001B9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5CA37A3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Column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9C53146" w14:textId="77777777" w:rsidR="001725FA" w:rsidRPr="001725FA" w:rsidRDefault="003F4337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Number of </w:t>
                              </w:r>
                              <w:r w:rsidR="001725FA"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packets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bought</w:t>
                              </w:r>
                            </w:p>
                          </w:tc>
                        </w:tr>
                        <w:tr w:rsidR="001725FA" w:rsidRPr="001725FA" w14:paraId="43F94B58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44F185C" w14:textId="77777777" w:rsidR="001725FA" w:rsidRPr="003F4337" w:rsidRDefault="003F4337" w:rsidP="003F4337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3F4337">
                                <w:rPr>
                                  <w:rFonts w:ascii="Courier New" w:eastAsia="Times New Roman" w:hAnsi="Courier New" w:cs="Courier New"/>
                                  <w:szCs w:val="24"/>
                                  <w:lang w:eastAsia="en-IN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9664887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one packet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two packets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three or more packets</w:t>
                              </w:r>
                            </w:p>
                          </w:tc>
                        </w:tr>
                        <w:tr w:rsidR="001725FA" w:rsidRPr="001725FA" w14:paraId="246A7326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4DCC42D0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02C0938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Selling-price per packet of coffee</w:t>
                              </w:r>
                            </w:p>
                          </w:tc>
                        </w:tr>
                        <w:tr w:rsidR="001725FA" w:rsidRPr="001725FA" w14:paraId="54B07820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2D04F6D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C83BB2D" w14:textId="2B1229AB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less than 6,50 DM</w:t>
                              </w:r>
                              <w:r w:rsidR="00D57A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(Currency Deutsche Mark)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6,50 DM to 8,50 DM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more than 8,50 DM</w:t>
                              </w:r>
                            </w:p>
                          </w:tc>
                        </w:tr>
                        <w:tr w:rsidR="001725FA" w:rsidRPr="001725FA" w14:paraId="7CE266C7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0FD481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FC3FD89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Identification number of household</w:t>
                              </w:r>
                            </w:p>
                          </w:tc>
                        </w:tr>
                        <w:tr w:rsidR="001725FA" w:rsidRPr="001725FA" w14:paraId="37921CA1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48DE3B8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265D466" w14:textId="77777777" w:rsidR="001725FA" w:rsidRPr="001725FA" w:rsidRDefault="003F4337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Coffee Brand</w:t>
                              </w:r>
                            </w:p>
                          </w:tc>
                        </w:tr>
                        <w:tr w:rsidR="001725FA" w:rsidRPr="001725FA" w14:paraId="2152FA4C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B612294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8787CA7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1 : Jacobs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Krönung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Jacobs other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Aldi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Aldi other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5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Eduscho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Gala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6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Eduscho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other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7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Tchibo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Feine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Milde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8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Tchibo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other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9 :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Andere</w:t>
                              </w:r>
                              <w:proofErr w:type="spellEnd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Kaffeemarken</w:t>
                              </w:r>
                              <w:proofErr w:type="spellEnd"/>
                            </w:p>
                          </w:tc>
                        </w:tr>
                        <w:tr w:rsidR="001725FA" w:rsidRPr="001725FA" w14:paraId="2B910F73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758F11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A2654D3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Period between two coffee purchases in days</w:t>
                              </w:r>
                            </w:p>
                          </w:tc>
                        </w:tr>
                        <w:tr w:rsidR="001725FA" w:rsidRPr="001725FA" w14:paraId="3B89DD83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70A7EB9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68AC7824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Age of householder</w:t>
                              </w:r>
                            </w:p>
                          </w:tc>
                        </w:tr>
                        <w:tr w:rsidR="001725FA" w:rsidRPr="001725FA" w14:paraId="79B29808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303BBAA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14330C4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less than 24 years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25 to 39 years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40 to 49 years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50 to 59 years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5 : 60 years or more</w:t>
                              </w:r>
                            </w:p>
                          </w:tc>
                        </w:tr>
                        <w:tr w:rsidR="001725FA" w:rsidRPr="001725FA" w14:paraId="3623E2A9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37F5A06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G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7AD8067" w14:textId="77777777" w:rsidR="001725FA" w:rsidRPr="001725FA" w:rsidRDefault="003F4337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Socioeconomic</w:t>
                              </w:r>
                              <w:r w:rsidR="001725FA"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level of householder</w:t>
                              </w:r>
                            </w:p>
                          </w:tc>
                        </w:tr>
                        <w:tr w:rsidR="001725FA" w:rsidRPr="001725FA" w14:paraId="318FEEA1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9BB2ECF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CFF84A1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upper class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upper middle class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middle class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lower middle class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5 : lower class</w:t>
                              </w:r>
                            </w:p>
                          </w:tc>
                        </w:tr>
                        <w:tr w:rsidR="001725FA" w:rsidRPr="001725FA" w14:paraId="2C9BC421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9C25DA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t>H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0905864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Monthly income of household</w:t>
                              </w:r>
                            </w:p>
                          </w:tc>
                        </w:tr>
                        <w:tr w:rsidR="001725FA" w:rsidRPr="001725FA" w14:paraId="25C8DF59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6EBFEA9F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398BE49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less than 1499 DM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1500 to 2499 DM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2500 to 3499 DM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3500 DM or more</w:t>
                              </w:r>
                            </w:p>
                          </w:tc>
                        </w:tr>
                        <w:tr w:rsidR="001725FA" w:rsidRPr="001725FA" w14:paraId="1553D5F4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62D113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29FACB3E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Size of household</w:t>
                              </w:r>
                            </w:p>
                          </w:tc>
                        </w:tr>
                        <w:tr w:rsidR="001725FA" w:rsidRPr="001725FA" w14:paraId="3DBC401F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4C43AF9B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J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BB4AF77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Price-consciousness</w:t>
                              </w:r>
                            </w:p>
                          </w:tc>
                        </w:tr>
                        <w:tr w:rsidR="001725FA" w:rsidRPr="001725FA" w14:paraId="158E70C2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79F4C192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3DB2F5DA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not at all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a little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price-conscious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4 : distinctly price-conscious</w:t>
                              </w:r>
                            </w:p>
                          </w:tc>
                        </w:tr>
                        <w:tr w:rsidR="001725FA" w:rsidRPr="001725FA" w14:paraId="576EE830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14887DAC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K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349F5FE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Education of householder</w:t>
                              </w:r>
                            </w:p>
                          </w:tc>
                        </w:tr>
                        <w:tr w:rsidR="001725FA" w:rsidRPr="001725FA" w14:paraId="574D4342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54CE6E40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E686DE9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nine-year elementary school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intermediate high school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3 : high-school / university</w:t>
                              </w:r>
                            </w:p>
                          </w:tc>
                        </w:tr>
                        <w:tr w:rsidR="001725FA" w:rsidRPr="001725FA" w14:paraId="5697480D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4A1A1CFC" w14:textId="77777777" w:rsidR="001725FA" w:rsidRPr="001725FA" w:rsidRDefault="003F4337" w:rsidP="001725F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66D6B980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Brand loyalty</w:t>
                              </w:r>
                            </w:p>
                          </w:tc>
                        </w:tr>
                        <w:tr w:rsidR="001725FA" w:rsidRPr="001725FA" w14:paraId="2963334C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4B411CA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14:paraId="0B1B178D" w14:textId="77777777" w:rsidR="001725FA" w:rsidRPr="001725FA" w:rsidRDefault="001725FA" w:rsidP="001725F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 : loyal</w:t>
                              </w:r>
                              <w:r w:rsidRPr="001725F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2 : not loyal</w:t>
                              </w:r>
                            </w:p>
                          </w:tc>
                        </w:tr>
                      </w:tbl>
                      <w:p w14:paraId="5DB3B17D" w14:textId="77777777" w:rsidR="001725FA" w:rsidRPr="001725FA" w:rsidRDefault="001725FA" w:rsidP="001725F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75390BD3" w14:textId="77777777" w:rsidR="001725FA" w:rsidRPr="001725FA" w:rsidRDefault="001725FA" w:rsidP="001725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70D1D4D" w14:textId="77777777" w:rsidR="001725FA" w:rsidRPr="001725FA" w:rsidRDefault="001725FA" w:rsidP="00172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822A70" w14:textId="12E39055" w:rsidR="00D11D9E" w:rsidRDefault="00D11D9E"/>
    <w:p w14:paraId="564B89E9" w14:textId="77777777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The file (Coffee.xlsx) contains survey data with detailed description given in the attached doc (Desc.docx). The survey aims to understand coffee consumption pattern of households. Specifically, a few of the questions the survey may attempt to answer are</w:t>
      </w:r>
    </w:p>
    <w:p w14:paraId="2AF6A13D" w14:textId="77777777" w:rsidR="005A1865" w:rsidRDefault="005A1865" w:rsidP="005A18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Which brands of coffee are more popular? Given a brand, are all variants equally preferred?</w:t>
      </w:r>
    </w:p>
    <w:p w14:paraId="529462B9" w14:textId="77777777" w:rsidR="005A1865" w:rsidRDefault="005A1865" w:rsidP="005A18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What are the prices of different brands of coffee?</w:t>
      </w:r>
    </w:p>
    <w:p w14:paraId="219C2A93" w14:textId="77777777" w:rsidR="005A1865" w:rsidRDefault="005A1865" w:rsidP="005A18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How frequently does a household buy coffee? How many packets of coffee are bought at a time?</w:t>
      </w:r>
    </w:p>
    <w:p w14:paraId="7F1A1B4C" w14:textId="77777777" w:rsidR="005A1865" w:rsidRDefault="005A1865" w:rsidP="005A18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What are the factors that have an impact on a household’s coffee purchase pattern? Does brand preference depend on household size? Does purchase depend on a person’s income or education level?</w:t>
      </w:r>
    </w:p>
    <w:p w14:paraId="279620E8" w14:textId="77777777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There may be many other related and relevant questions that a company may be interested in. But before we get to do that, we need to ‘prepare’ the data and do some simple checks. The list is endless. However, a starting point could be the following:</w:t>
      </w:r>
    </w:p>
    <w:p w14:paraId="45792625" w14:textId="77777777" w:rsidR="005A1865" w:rsidRDefault="005A1865" w:rsidP="005A186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Are there any variables/columns you think will be eventually irrelevant for the study? Why?</w:t>
      </w:r>
    </w:p>
    <w:p w14:paraId="53B92651" w14:textId="77777777" w:rsidR="005A1865" w:rsidRDefault="005A1865" w:rsidP="005A186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Can you possibly identify some outliers?</w:t>
      </w:r>
    </w:p>
    <w:p w14:paraId="00FFD935" w14:textId="77777777" w:rsidR="005A1865" w:rsidRDefault="005A1865" w:rsidP="005A186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For better analysis do you think a few brand variants needs to be clubbed together?</w:t>
      </w:r>
    </w:p>
    <w:p w14:paraId="723C6951" w14:textId="77777777" w:rsidR="005A1865" w:rsidRDefault="005A1865" w:rsidP="005A186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Can you do some probability estimates- Say what is the probability that a randomly chosen household belongs to the top two social levels? What is the probability that households belonging to the top two social levels buy more expensive coffee?</w:t>
      </w:r>
    </w:p>
    <w:p w14:paraId="12A148EF" w14:textId="77777777" w:rsidR="005A1865" w:rsidRDefault="005A1865" w:rsidP="005A186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You are expected to discuss on the above-mentioned points. You are also expected to identify a few (between 2 and 4) relevant business questions, aligning data against each question or pointing out if any relevant data is not available. Request you to participate and share your insights</w:t>
      </w:r>
      <w:r>
        <w:rPr>
          <w:rFonts w:ascii="Helvetica" w:hAnsi="Helvetica" w:cs="Helvetica"/>
          <w:color w:val="2D3B45"/>
          <w:sz w:val="21"/>
          <w:szCs w:val="21"/>
        </w:rPr>
        <w:t>.</w:t>
      </w:r>
    </w:p>
    <w:p w14:paraId="2AED7551" w14:textId="77777777" w:rsidR="005A1865" w:rsidRDefault="005A1865">
      <w:bookmarkStart w:id="0" w:name="_GoBack"/>
      <w:bookmarkEnd w:id="0"/>
    </w:p>
    <w:sectPr w:rsidR="005A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39"/>
    <w:multiLevelType w:val="multilevel"/>
    <w:tmpl w:val="D98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14F43"/>
    <w:multiLevelType w:val="multilevel"/>
    <w:tmpl w:val="1C3E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0105D"/>
    <w:multiLevelType w:val="multilevel"/>
    <w:tmpl w:val="DB04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5FA"/>
    <w:rsid w:val="001725FA"/>
    <w:rsid w:val="002A583E"/>
    <w:rsid w:val="003F4337"/>
    <w:rsid w:val="00501635"/>
    <w:rsid w:val="005A1865"/>
    <w:rsid w:val="00A15ADD"/>
    <w:rsid w:val="00D11D9E"/>
    <w:rsid w:val="00D47C4B"/>
    <w:rsid w:val="00D5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E90D"/>
  <w15:docId w15:val="{B13CC61A-3EEE-4FE7-8D90-D05E87E6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5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7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25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186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iscussion-title">
    <w:name w:val="discussion-title"/>
    <w:basedOn w:val="Normal"/>
    <w:rsid w:val="005A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iscussion-points">
    <w:name w:val="discussion-points"/>
    <w:basedOn w:val="DefaultParagraphFont"/>
    <w:rsid w:val="005A1865"/>
  </w:style>
  <w:style w:type="character" w:customStyle="1" w:styleId="screenreader-only">
    <w:name w:val="screenreader-only"/>
    <w:basedOn w:val="DefaultParagraphFont"/>
    <w:rsid w:val="005A1865"/>
  </w:style>
  <w:style w:type="character" w:customStyle="1" w:styleId="instructurefilelinkholder">
    <w:name w:val="instructure_file_link_holder"/>
    <w:basedOn w:val="DefaultParagraphFont"/>
    <w:rsid w:val="005A1865"/>
  </w:style>
  <w:style w:type="character" w:styleId="Emphasis">
    <w:name w:val="Emphasis"/>
    <w:basedOn w:val="DefaultParagraphFont"/>
    <w:uiPriority w:val="20"/>
    <w:qFormat/>
    <w:rsid w:val="005A1865"/>
    <w:rPr>
      <w:i/>
      <w:iCs/>
    </w:rPr>
  </w:style>
  <w:style w:type="character" w:styleId="Strong">
    <w:name w:val="Strong"/>
    <w:basedOn w:val="DefaultParagraphFont"/>
    <w:uiPriority w:val="22"/>
    <w:qFormat/>
    <w:rsid w:val="005A1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20313">
                  <w:marLeft w:val="3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Srabashi Basu</dc:creator>
  <cp:lastModifiedBy>Pooja Jugran</cp:lastModifiedBy>
  <cp:revision>6</cp:revision>
  <dcterms:created xsi:type="dcterms:W3CDTF">2017-01-31T07:00:00Z</dcterms:created>
  <dcterms:modified xsi:type="dcterms:W3CDTF">2019-09-04T17:25:00Z</dcterms:modified>
</cp:coreProperties>
</file>