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Word2Vec + KMeans Clustering Analysis</w:t>
      </w:r>
    </w:p>
    <w:p>
      <w:pPr>
        <w:pStyle w:val="Heading2"/>
      </w:pPr>
      <w:r>
        <w:t>1. Experiment Summary</w:t>
      </w:r>
    </w:p>
    <w:p>
      <w:r>
        <w:t>Pretrained FastText embeddings (cc.de.300.bin) were used to generate document-level vectors for 5702 German company websites. Embeddings were created by averaging valid word vectors per document.</w:t>
        <w:br/>
        <w:br/>
        <w:t>KMeans clustering was applied with number of clusters k ranging from 4 to 20. Evaluation metrics included:</w:t>
        <w:br/>
        <w:t>- Silhouette Score</w:t>
        <w:br/>
        <w:t>- Davies-Bouldin Index</w:t>
        <w:br/>
        <w:t>- Inertia (for Elbow Plot)</w:t>
      </w:r>
    </w:p>
    <w:p>
      <w:pPr>
        <w:pStyle w:val="Heading2"/>
      </w:pPr>
      <w:r>
        <w:t>2. Silhouette Score Analysis</w:t>
      </w:r>
    </w:p>
    <w:p>
      <w:r>
        <w:t>- Extremely high silhouette scores for k=4 and k=5 (~0.44)</w:t>
        <w:br/>
        <w:t>- Rapid drop beyond k=6, with flat and low values from k=10 onward (&lt; 0.07)</w:t>
        <w:br/>
        <w:t>- Indicates that Word2Vec forms 2–5 strong clusters, but degrades quickly after</w:t>
      </w:r>
    </w:p>
    <w:p>
      <w:pPr>
        <w:pStyle w:val="Heading2"/>
      </w:pPr>
      <w:r>
        <w:t>3. Davies-Bouldin Index Analysis</w:t>
      </w:r>
    </w:p>
    <w:p>
      <w:r>
        <w:t>- Lowest DBI achieved at k=5 (~1.19)</w:t>
        <w:br/>
        <w:t>- DBI increases to ~2.06 by k=13, then levels off</w:t>
        <w:br/>
        <w:t>- Shows degradation in cluster compactness after early k-values</w:t>
      </w:r>
    </w:p>
    <w:p>
      <w:pPr>
        <w:pStyle w:val="Heading2"/>
      </w:pPr>
      <w:r>
        <w:t>4. Elbow Plot Analysis</w:t>
      </w:r>
    </w:p>
    <w:p>
      <w:r>
        <w:t>- Inertia drops steadily as expected</w:t>
        <w:br/>
        <w:t>- Visual elbow observed around k=7–9</w:t>
        <w:br/>
        <w:t>- Indicates diminishing returns in within-cluster error reduction</w:t>
      </w:r>
    </w:p>
    <w:p>
      <w:pPr>
        <w:pStyle w:val="Heading2"/>
      </w:pPr>
      <w:r>
        <w:t>5. Interpretation</w:t>
      </w:r>
    </w:p>
    <w:p>
      <w:r>
        <w:t>- Word2Vec performs best when aiming for small numbers of broad clusters (k=4 to 6)</w:t>
        <w:br/>
        <w:t>- Beyond k=8, results become unstable and less meaningful</w:t>
        <w:br/>
        <w:t>- Compared to TF-IDF and SBERT, Word2Vec provides strong macro-clustering but struggles with fine-grained separation</w:t>
        <w:br/>
        <w:t>- Use cautiously, and consider pairing with hierarchical methods or topic modeling for better interpretability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