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50C9" w:rsidRPr="00CB50C9" w:rsidRDefault="00CB50C9" w:rsidP="00CB50C9">
      <w:pPr>
        <w:shd w:val="clear" w:color="auto" w:fill="FFFFFF"/>
        <w:spacing w:after="0" w:line="240" w:lineRule="auto"/>
        <w:rPr>
          <w:rFonts w:ascii="Roboto" w:eastAsia="Times New Roman" w:hAnsi="Roboto" w:cs="Times New Roman"/>
          <w:color w:val="444444"/>
          <w:sz w:val="21"/>
          <w:szCs w:val="21"/>
          <w:lang w:eastAsia="en-IN"/>
        </w:rPr>
      </w:pPr>
      <w:r w:rsidRPr="00CB50C9">
        <w:rPr>
          <w:rFonts w:ascii="Roboto" w:eastAsia="Times New Roman" w:hAnsi="Roboto" w:cs="Times New Roman"/>
          <w:color w:val="444444"/>
          <w:sz w:val="21"/>
          <w:szCs w:val="21"/>
          <w:lang w:eastAsia="en-IN"/>
        </w:rPr>
        <w:t>Like</w:t>
      </w:r>
    </w:p>
    <w:p w:rsidR="00CB50C9" w:rsidRPr="00CB50C9" w:rsidRDefault="00CB50C9" w:rsidP="00CB50C9">
      <w:pPr>
        <w:shd w:val="clear" w:color="auto" w:fill="FFFFFF"/>
        <w:spacing w:after="0" w:line="240" w:lineRule="auto"/>
        <w:rPr>
          <w:rFonts w:ascii="Roboto" w:eastAsia="Times New Roman" w:hAnsi="Roboto" w:cs="Times New Roman"/>
          <w:color w:val="444444"/>
          <w:sz w:val="21"/>
          <w:szCs w:val="21"/>
          <w:lang w:eastAsia="en-IN"/>
        </w:rPr>
      </w:pPr>
      <w:r w:rsidRPr="00CB50C9">
        <w:rPr>
          <w:rFonts w:ascii="Roboto" w:eastAsia="Times New Roman" w:hAnsi="Roboto" w:cs="Times New Roman"/>
          <w:color w:val="444444"/>
          <w:sz w:val="21"/>
          <w:szCs w:val="21"/>
          <w:lang w:eastAsia="en-IN"/>
        </w:rPr>
        <w:t>Dislike</w:t>
      </w:r>
    </w:p>
    <w:p w:rsidR="00CB50C9" w:rsidRPr="00CB50C9" w:rsidRDefault="00CB50C9" w:rsidP="00CB50C9">
      <w:pPr>
        <w:shd w:val="clear" w:color="auto" w:fill="FFFFFF"/>
        <w:spacing w:after="0" w:line="390" w:lineRule="atLeast"/>
        <w:outlineLvl w:val="1"/>
        <w:rPr>
          <w:rFonts w:ascii="Roboto" w:eastAsia="Times New Roman" w:hAnsi="Roboto" w:cs="Times New Roman"/>
          <w:b/>
          <w:bCs/>
          <w:color w:val="000000"/>
          <w:sz w:val="30"/>
          <w:szCs w:val="30"/>
          <w:lang w:eastAsia="en-IN"/>
        </w:rPr>
      </w:pPr>
      <w:r w:rsidRPr="00CB50C9">
        <w:rPr>
          <w:rFonts w:ascii="Roboto" w:eastAsia="Times New Roman" w:hAnsi="Roboto" w:cs="Times New Roman"/>
          <w:b/>
          <w:bCs/>
          <w:color w:val="000000"/>
          <w:sz w:val="30"/>
          <w:szCs w:val="30"/>
          <w:lang w:eastAsia="en-IN"/>
        </w:rPr>
        <w:t>FATCA reporting involves submitting Form 8938 to the IRS, detailing foreign financial assets if they exceed certain thresholds.</w:t>
      </w:r>
    </w:p>
    <w:p w:rsidR="00CB50C9" w:rsidRPr="00CB50C9" w:rsidRDefault="00CB50C9" w:rsidP="00CB50C9">
      <w:pPr>
        <w:shd w:val="clear" w:color="auto" w:fill="FFFFFF"/>
        <w:spacing w:after="0" w:line="390" w:lineRule="atLeast"/>
        <w:outlineLvl w:val="2"/>
        <w:rPr>
          <w:rFonts w:ascii="Roboto" w:eastAsia="Times New Roman" w:hAnsi="Roboto" w:cs="Times New Roman"/>
          <w:b/>
          <w:bCs/>
          <w:color w:val="000000"/>
          <w:sz w:val="24"/>
          <w:szCs w:val="24"/>
          <w:lang w:eastAsia="en-IN"/>
        </w:rPr>
      </w:pPr>
      <w:r w:rsidRPr="00CB50C9">
        <w:rPr>
          <w:rFonts w:ascii="Roboto" w:eastAsia="Times New Roman" w:hAnsi="Roboto" w:cs="Times New Roman"/>
          <w:b/>
          <w:bCs/>
          <w:color w:val="000000"/>
          <w:sz w:val="24"/>
          <w:szCs w:val="24"/>
          <w:lang w:eastAsia="en-IN"/>
        </w:rPr>
        <w:t>Step-by-Step Guide to FATCA Reporting</w:t>
      </w:r>
    </w:p>
    <w:p w:rsidR="00CB50C9" w:rsidRPr="00CB50C9" w:rsidRDefault="00CB50C9" w:rsidP="00CB50C9">
      <w:pPr>
        <w:numPr>
          <w:ilvl w:val="0"/>
          <w:numId w:val="1"/>
        </w:numPr>
        <w:shd w:val="clear" w:color="auto" w:fill="FFFFFF"/>
        <w:spacing w:after="0" w:line="33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b/>
          <w:bCs/>
          <w:color w:val="000000"/>
          <w:sz w:val="24"/>
          <w:szCs w:val="24"/>
          <w:lang w:eastAsia="en-IN"/>
        </w:rPr>
        <w:t>Determine if You Need to Report</w:t>
      </w:r>
      <w:r w:rsidRPr="00CB50C9">
        <w:rPr>
          <w:rFonts w:ascii="Roboto" w:eastAsia="Times New Roman" w:hAnsi="Roboto" w:cs="Times New Roman"/>
          <w:color w:val="000000"/>
          <w:sz w:val="24"/>
          <w:szCs w:val="24"/>
          <w:lang w:eastAsia="en-IN"/>
        </w:rPr>
        <w:t>:</w:t>
      </w:r>
    </w:p>
    <w:p w:rsidR="00CB50C9" w:rsidRPr="00CB50C9" w:rsidRDefault="00CB50C9" w:rsidP="00CB50C9">
      <w:pPr>
        <w:numPr>
          <w:ilvl w:val="1"/>
          <w:numId w:val="2"/>
        </w:numPr>
        <w:shd w:val="clear" w:color="auto" w:fill="FFFFFF"/>
        <w:spacing w:after="0" w:line="39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color w:val="000000"/>
          <w:sz w:val="24"/>
          <w:szCs w:val="24"/>
          <w:lang w:eastAsia="en-IN"/>
        </w:rPr>
        <w:t>You must report if you are a U.S. taxpayer holding foreign financial assets with an aggregate value exceeding the reporting threshold. For single filers living in the U.S., the threshold is </w:t>
      </w:r>
      <w:r w:rsidRPr="00CB50C9">
        <w:rPr>
          <w:rFonts w:ascii="Roboto" w:eastAsia="Times New Roman" w:hAnsi="Roboto" w:cs="Times New Roman"/>
          <w:b/>
          <w:bCs/>
          <w:color w:val="000000"/>
          <w:sz w:val="24"/>
          <w:szCs w:val="24"/>
          <w:lang w:eastAsia="en-IN"/>
        </w:rPr>
        <w:t>$75,000</w:t>
      </w:r>
      <w:r w:rsidRPr="00CB50C9">
        <w:rPr>
          <w:rFonts w:ascii="Roboto" w:eastAsia="Times New Roman" w:hAnsi="Roboto" w:cs="Times New Roman"/>
          <w:color w:val="000000"/>
          <w:sz w:val="24"/>
          <w:szCs w:val="24"/>
          <w:lang w:eastAsia="en-IN"/>
        </w:rPr>
        <w:t> at any point during the year. For those living abroad, it is </w:t>
      </w:r>
      <w:r w:rsidRPr="00CB50C9">
        <w:rPr>
          <w:rFonts w:ascii="Roboto" w:eastAsia="Times New Roman" w:hAnsi="Roboto" w:cs="Times New Roman"/>
          <w:b/>
          <w:bCs/>
          <w:color w:val="000000"/>
          <w:sz w:val="24"/>
          <w:szCs w:val="24"/>
          <w:lang w:eastAsia="en-IN"/>
        </w:rPr>
        <w:t>$300,000</w:t>
      </w:r>
      <w:r w:rsidRPr="00CB50C9">
        <w:rPr>
          <w:rFonts w:ascii="Roboto" w:eastAsia="Times New Roman" w:hAnsi="Roboto" w:cs="Times New Roman"/>
          <w:color w:val="000000"/>
          <w:sz w:val="24"/>
          <w:szCs w:val="24"/>
          <w:lang w:eastAsia="en-IN"/>
        </w:rPr>
        <w:t>. For married couples filing jointly, the thresholds are doubled </w:t>
      </w:r>
      <w:hyperlink r:id="rId5" w:tgtFrame="_blank" w:history="1">
        <w:r w:rsidRPr="00CB50C9">
          <w:rPr>
            <w:rFonts w:ascii="Roboto" w:eastAsia="Times New Roman" w:hAnsi="Roboto" w:cs="Times New Roman"/>
            <w:noProof/>
            <w:color w:val="0000FF"/>
            <w:sz w:val="17"/>
            <w:szCs w:val="17"/>
            <w:shd w:val="clear" w:color="auto" w:fill="FFFFFF"/>
            <w:lang w:eastAsia="en-IN"/>
          </w:rPr>
          <w:drawing>
            <wp:inline distT="0" distB="0" distL="0" distR="0">
              <wp:extent cx="304800" cy="304800"/>
              <wp:effectExtent l="0" t="0" r="0" b="0"/>
              <wp:docPr id="6" name="Picture 6" descr="Internal Revenu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l Revenue Servi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B50C9">
          <w:rPr>
            <w:rFonts w:ascii="Roboto" w:eastAsia="Times New Roman" w:hAnsi="Roboto" w:cs="Times New Roman"/>
            <w:color w:val="0000FF"/>
            <w:sz w:val="17"/>
            <w:szCs w:val="17"/>
            <w:shd w:val="clear" w:color="auto" w:fill="F8F4F1"/>
            <w:lang w:eastAsia="en-IN"/>
          </w:rPr>
          <w:t>Internal Revenue Service+1</w:t>
        </w:r>
      </w:hyperlink>
      <w:r w:rsidRPr="00CB50C9">
        <w:rPr>
          <w:rFonts w:ascii="Roboto" w:eastAsia="Times New Roman" w:hAnsi="Roboto" w:cs="Times New Roman"/>
          <w:color w:val="000000"/>
          <w:sz w:val="24"/>
          <w:szCs w:val="24"/>
          <w:lang w:eastAsia="en-IN"/>
        </w:rPr>
        <w:t>.</w:t>
      </w:r>
    </w:p>
    <w:p w:rsidR="00CB50C9" w:rsidRPr="00CB50C9" w:rsidRDefault="00CB50C9" w:rsidP="00CB50C9">
      <w:pPr>
        <w:numPr>
          <w:ilvl w:val="0"/>
          <w:numId w:val="2"/>
        </w:numPr>
        <w:shd w:val="clear" w:color="auto" w:fill="FFFFFF"/>
        <w:spacing w:after="0" w:line="33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b/>
          <w:bCs/>
          <w:color w:val="000000"/>
          <w:sz w:val="24"/>
          <w:szCs w:val="24"/>
          <w:lang w:eastAsia="en-IN"/>
        </w:rPr>
        <w:t>Gather Required Information</w:t>
      </w:r>
      <w:r w:rsidRPr="00CB50C9">
        <w:rPr>
          <w:rFonts w:ascii="Roboto" w:eastAsia="Times New Roman" w:hAnsi="Roboto" w:cs="Times New Roman"/>
          <w:color w:val="000000"/>
          <w:sz w:val="24"/>
          <w:szCs w:val="24"/>
          <w:lang w:eastAsia="en-IN"/>
        </w:rPr>
        <w:t>:</w:t>
      </w:r>
    </w:p>
    <w:p w:rsidR="00CB50C9" w:rsidRPr="00CB50C9" w:rsidRDefault="00CB50C9" w:rsidP="00CB50C9">
      <w:pPr>
        <w:numPr>
          <w:ilvl w:val="1"/>
          <w:numId w:val="2"/>
        </w:numPr>
        <w:shd w:val="clear" w:color="auto" w:fill="FFFFFF"/>
        <w:spacing w:after="0" w:line="39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color w:val="000000"/>
          <w:sz w:val="24"/>
          <w:szCs w:val="24"/>
          <w:lang w:eastAsia="en-IN"/>
        </w:rPr>
        <w:t>Collect details about your foreign financial accounts, including account numbers, names of financial institutions, and the maximum value of each account during the year. This includes bank accounts, investment accounts, and other specified foreign financial assets </w:t>
      </w:r>
      <w:hyperlink r:id="rId7" w:tgtFrame="_blank" w:history="1">
        <w:r w:rsidRPr="00CB50C9">
          <w:rPr>
            <w:rFonts w:ascii="Roboto" w:eastAsia="Times New Roman" w:hAnsi="Roboto" w:cs="Times New Roman"/>
            <w:noProof/>
            <w:color w:val="0000FF"/>
            <w:sz w:val="17"/>
            <w:szCs w:val="17"/>
            <w:shd w:val="clear" w:color="auto" w:fill="FFFFFF"/>
            <w:lang w:eastAsia="en-IN"/>
          </w:rPr>
          <w:drawing>
            <wp:inline distT="0" distB="0" distL="0" distR="0">
              <wp:extent cx="304800" cy="304800"/>
              <wp:effectExtent l="0" t="0" r="0" b="0"/>
              <wp:docPr id="5" name="Picture 5" descr="Internal Revenu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nal Revenue Servi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B50C9">
          <w:rPr>
            <w:rFonts w:ascii="Roboto" w:eastAsia="Times New Roman" w:hAnsi="Roboto" w:cs="Times New Roman"/>
            <w:color w:val="0000FF"/>
            <w:sz w:val="17"/>
            <w:szCs w:val="17"/>
            <w:shd w:val="clear" w:color="auto" w:fill="F8F4F1"/>
            <w:lang w:eastAsia="en-IN"/>
          </w:rPr>
          <w:t>Internal Revenue Service+1</w:t>
        </w:r>
      </w:hyperlink>
      <w:r w:rsidRPr="00CB50C9">
        <w:rPr>
          <w:rFonts w:ascii="Roboto" w:eastAsia="Times New Roman" w:hAnsi="Roboto" w:cs="Times New Roman"/>
          <w:color w:val="000000"/>
          <w:sz w:val="24"/>
          <w:szCs w:val="24"/>
          <w:lang w:eastAsia="en-IN"/>
        </w:rPr>
        <w:t>.</w:t>
      </w:r>
    </w:p>
    <w:p w:rsidR="00CB50C9" w:rsidRPr="00CB50C9" w:rsidRDefault="00CB50C9" w:rsidP="00CB50C9">
      <w:pPr>
        <w:numPr>
          <w:ilvl w:val="0"/>
          <w:numId w:val="2"/>
        </w:numPr>
        <w:shd w:val="clear" w:color="auto" w:fill="FFFFFF"/>
        <w:spacing w:after="0" w:line="33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b/>
          <w:bCs/>
          <w:color w:val="000000"/>
          <w:sz w:val="24"/>
          <w:szCs w:val="24"/>
          <w:lang w:eastAsia="en-IN"/>
        </w:rPr>
        <w:t>Complete IRS Form 8938</w:t>
      </w:r>
      <w:r w:rsidRPr="00CB50C9">
        <w:rPr>
          <w:rFonts w:ascii="Roboto" w:eastAsia="Times New Roman" w:hAnsi="Roboto" w:cs="Times New Roman"/>
          <w:color w:val="000000"/>
          <w:sz w:val="24"/>
          <w:szCs w:val="24"/>
          <w:lang w:eastAsia="en-IN"/>
        </w:rPr>
        <w:t>:</w:t>
      </w:r>
    </w:p>
    <w:p w:rsidR="00CB50C9" w:rsidRPr="00CB50C9" w:rsidRDefault="00CB50C9" w:rsidP="00CB50C9">
      <w:pPr>
        <w:numPr>
          <w:ilvl w:val="1"/>
          <w:numId w:val="2"/>
        </w:numPr>
        <w:shd w:val="clear" w:color="auto" w:fill="FFFFFF"/>
        <w:spacing w:after="0" w:line="39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color w:val="000000"/>
          <w:sz w:val="24"/>
          <w:szCs w:val="24"/>
          <w:lang w:eastAsia="en-IN"/>
        </w:rPr>
        <w:t>Fill out </w:t>
      </w:r>
      <w:r w:rsidRPr="00CB50C9">
        <w:rPr>
          <w:rFonts w:ascii="Roboto" w:eastAsia="Times New Roman" w:hAnsi="Roboto" w:cs="Times New Roman"/>
          <w:b/>
          <w:bCs/>
          <w:color w:val="000000"/>
          <w:sz w:val="24"/>
          <w:szCs w:val="24"/>
          <w:lang w:eastAsia="en-IN"/>
        </w:rPr>
        <w:t>Form 8938</w:t>
      </w:r>
      <w:r w:rsidRPr="00CB50C9">
        <w:rPr>
          <w:rFonts w:ascii="Roboto" w:eastAsia="Times New Roman" w:hAnsi="Roboto" w:cs="Times New Roman"/>
          <w:color w:val="000000"/>
          <w:sz w:val="24"/>
          <w:szCs w:val="24"/>
          <w:lang w:eastAsia="en-IN"/>
        </w:rPr>
        <w:t>, titled "Statement of Specified Foreign Financial Assets." This form requires you to report the details of your foreign financial assets, including their value and type. Ensure that you provide accurate information to avoid penalties </w:t>
      </w:r>
      <w:hyperlink r:id="rId8" w:tgtFrame="_blank" w:history="1">
        <w:r w:rsidRPr="00CB50C9">
          <w:rPr>
            <w:rFonts w:ascii="Roboto" w:eastAsia="Times New Roman" w:hAnsi="Roboto" w:cs="Times New Roman"/>
            <w:noProof/>
            <w:color w:val="0000FF"/>
            <w:sz w:val="17"/>
            <w:szCs w:val="17"/>
            <w:shd w:val="clear" w:color="auto" w:fill="FFFFFF"/>
            <w:lang w:eastAsia="en-IN"/>
          </w:rPr>
          <w:drawing>
            <wp:inline distT="0" distB="0" distL="0" distR="0">
              <wp:extent cx="304800" cy="304800"/>
              <wp:effectExtent l="0" t="0" r="0" b="0"/>
              <wp:docPr id="4" name="Picture 4" descr="Internal Revenu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al Revenue Servi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B50C9">
          <w:rPr>
            <w:rFonts w:ascii="Roboto" w:eastAsia="Times New Roman" w:hAnsi="Roboto" w:cs="Times New Roman"/>
            <w:color w:val="0000FF"/>
            <w:sz w:val="17"/>
            <w:szCs w:val="17"/>
            <w:shd w:val="clear" w:color="auto" w:fill="F8F4F1"/>
            <w:lang w:eastAsia="en-IN"/>
          </w:rPr>
          <w:t>Internal Revenue Service+1</w:t>
        </w:r>
      </w:hyperlink>
      <w:r w:rsidRPr="00CB50C9">
        <w:rPr>
          <w:rFonts w:ascii="Roboto" w:eastAsia="Times New Roman" w:hAnsi="Roboto" w:cs="Times New Roman"/>
          <w:color w:val="000000"/>
          <w:sz w:val="24"/>
          <w:szCs w:val="24"/>
          <w:lang w:eastAsia="en-IN"/>
        </w:rPr>
        <w:t>.</w:t>
      </w:r>
    </w:p>
    <w:p w:rsidR="00CB50C9" w:rsidRPr="00CB50C9" w:rsidRDefault="00CB50C9" w:rsidP="00CB50C9">
      <w:pPr>
        <w:numPr>
          <w:ilvl w:val="0"/>
          <w:numId w:val="2"/>
        </w:numPr>
        <w:shd w:val="clear" w:color="auto" w:fill="FFFFFF"/>
        <w:spacing w:after="0" w:line="33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b/>
          <w:bCs/>
          <w:color w:val="000000"/>
          <w:sz w:val="24"/>
          <w:szCs w:val="24"/>
          <w:lang w:eastAsia="en-IN"/>
        </w:rPr>
        <w:t>Attach Form 8938 to Your Tax Return</w:t>
      </w:r>
      <w:r w:rsidRPr="00CB50C9">
        <w:rPr>
          <w:rFonts w:ascii="Roboto" w:eastAsia="Times New Roman" w:hAnsi="Roboto" w:cs="Times New Roman"/>
          <w:color w:val="000000"/>
          <w:sz w:val="24"/>
          <w:szCs w:val="24"/>
          <w:lang w:eastAsia="en-IN"/>
        </w:rPr>
        <w:t>:</w:t>
      </w:r>
    </w:p>
    <w:p w:rsidR="00CB50C9" w:rsidRPr="00CB50C9" w:rsidRDefault="00CB50C9" w:rsidP="00CB50C9">
      <w:pPr>
        <w:numPr>
          <w:ilvl w:val="1"/>
          <w:numId w:val="2"/>
        </w:numPr>
        <w:shd w:val="clear" w:color="auto" w:fill="FFFFFF"/>
        <w:spacing w:after="0" w:line="39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color w:val="000000"/>
          <w:sz w:val="24"/>
          <w:szCs w:val="24"/>
          <w:lang w:eastAsia="en-IN"/>
        </w:rPr>
        <w:t>Submit Form 8938 along with your annual income tax return (Form 1040). The IRS does not accept Form 8938 as a standalone submission; it must be included with your tax return, typically due by April 15th </w:t>
      </w:r>
      <w:hyperlink r:id="rId9" w:tgtFrame="_blank" w:history="1">
        <w:r w:rsidRPr="00CB50C9">
          <w:rPr>
            <w:rFonts w:ascii="Roboto" w:eastAsia="Times New Roman" w:hAnsi="Roboto" w:cs="Times New Roman"/>
            <w:noProof/>
            <w:color w:val="0000FF"/>
            <w:sz w:val="17"/>
            <w:szCs w:val="17"/>
            <w:shd w:val="clear" w:color="auto" w:fill="FFFFFF"/>
            <w:lang w:eastAsia="en-IN"/>
          </w:rPr>
          <w:drawing>
            <wp:inline distT="0" distB="0" distL="0" distR="0">
              <wp:extent cx="1428750" cy="1428750"/>
              <wp:effectExtent l="0" t="0" r="0" b="0"/>
              <wp:docPr id="3" name="Picture 3" descr="irsstreamlinedprocedur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rsstreamlinedprocedures.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sidRPr="00CB50C9">
          <w:rPr>
            <w:rFonts w:ascii="Roboto" w:eastAsia="Times New Roman" w:hAnsi="Roboto" w:cs="Times New Roman"/>
            <w:color w:val="0000FF"/>
            <w:sz w:val="17"/>
            <w:szCs w:val="17"/>
            <w:shd w:val="clear" w:color="auto" w:fill="F8F4F1"/>
            <w:lang w:eastAsia="en-IN"/>
          </w:rPr>
          <w:t>irsstreamlinedprocedures.com+1</w:t>
        </w:r>
      </w:hyperlink>
      <w:r w:rsidRPr="00CB50C9">
        <w:rPr>
          <w:rFonts w:ascii="Roboto" w:eastAsia="Times New Roman" w:hAnsi="Roboto" w:cs="Times New Roman"/>
          <w:color w:val="000000"/>
          <w:sz w:val="24"/>
          <w:szCs w:val="24"/>
          <w:lang w:eastAsia="en-IN"/>
        </w:rPr>
        <w:t>.</w:t>
      </w:r>
    </w:p>
    <w:p w:rsidR="00CB50C9" w:rsidRPr="00CB50C9" w:rsidRDefault="00CB50C9" w:rsidP="00CB50C9">
      <w:pPr>
        <w:numPr>
          <w:ilvl w:val="0"/>
          <w:numId w:val="2"/>
        </w:numPr>
        <w:shd w:val="clear" w:color="auto" w:fill="FFFFFF"/>
        <w:spacing w:after="0" w:line="33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b/>
          <w:bCs/>
          <w:color w:val="000000"/>
          <w:sz w:val="24"/>
          <w:szCs w:val="24"/>
          <w:lang w:eastAsia="en-IN"/>
        </w:rPr>
        <w:t>Understand the Penalties for Non-Compliance</w:t>
      </w:r>
      <w:r w:rsidRPr="00CB50C9">
        <w:rPr>
          <w:rFonts w:ascii="Roboto" w:eastAsia="Times New Roman" w:hAnsi="Roboto" w:cs="Times New Roman"/>
          <w:color w:val="000000"/>
          <w:sz w:val="24"/>
          <w:szCs w:val="24"/>
          <w:lang w:eastAsia="en-IN"/>
        </w:rPr>
        <w:t>:</w:t>
      </w:r>
    </w:p>
    <w:p w:rsidR="00CB50C9" w:rsidRPr="00CB50C9" w:rsidRDefault="00CB50C9" w:rsidP="00CB50C9">
      <w:pPr>
        <w:numPr>
          <w:ilvl w:val="1"/>
          <w:numId w:val="2"/>
        </w:numPr>
        <w:shd w:val="clear" w:color="auto" w:fill="FFFFFF"/>
        <w:spacing w:after="0" w:line="39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color w:val="000000"/>
          <w:sz w:val="24"/>
          <w:szCs w:val="24"/>
          <w:lang w:eastAsia="en-IN"/>
        </w:rPr>
        <w:t>Failing to file Form 8938 can result in significant penalties, starting with an initial fine of </w:t>
      </w:r>
      <w:r w:rsidRPr="00CB50C9">
        <w:rPr>
          <w:rFonts w:ascii="Roboto" w:eastAsia="Times New Roman" w:hAnsi="Roboto" w:cs="Times New Roman"/>
          <w:b/>
          <w:bCs/>
          <w:color w:val="000000"/>
          <w:sz w:val="24"/>
          <w:szCs w:val="24"/>
          <w:lang w:eastAsia="en-IN"/>
        </w:rPr>
        <w:t>$10,000</w:t>
      </w:r>
      <w:r w:rsidRPr="00CB50C9">
        <w:rPr>
          <w:rFonts w:ascii="Roboto" w:eastAsia="Times New Roman" w:hAnsi="Roboto" w:cs="Times New Roman"/>
          <w:color w:val="000000"/>
          <w:sz w:val="24"/>
          <w:szCs w:val="24"/>
          <w:lang w:eastAsia="en-IN"/>
        </w:rPr>
        <w:t>. If you do not correct the failure within 90 days, you may incur additional penalties of </w:t>
      </w:r>
      <w:r w:rsidRPr="00CB50C9">
        <w:rPr>
          <w:rFonts w:ascii="Roboto" w:eastAsia="Times New Roman" w:hAnsi="Roboto" w:cs="Times New Roman"/>
          <w:b/>
          <w:bCs/>
          <w:color w:val="000000"/>
          <w:sz w:val="24"/>
          <w:szCs w:val="24"/>
          <w:lang w:eastAsia="en-IN"/>
        </w:rPr>
        <w:t>$10,000</w:t>
      </w:r>
      <w:r w:rsidRPr="00CB50C9">
        <w:rPr>
          <w:rFonts w:ascii="Roboto" w:eastAsia="Times New Roman" w:hAnsi="Roboto" w:cs="Times New Roman"/>
          <w:color w:val="000000"/>
          <w:sz w:val="24"/>
          <w:szCs w:val="24"/>
          <w:lang w:eastAsia="en-IN"/>
        </w:rPr>
        <w:t> for each 30-day period of non-compliance </w:t>
      </w:r>
      <w:hyperlink r:id="rId11" w:tgtFrame="_blank" w:history="1">
        <w:r w:rsidRPr="00CB50C9">
          <w:rPr>
            <w:rFonts w:ascii="Roboto" w:eastAsia="Times New Roman" w:hAnsi="Roboto" w:cs="Times New Roman"/>
            <w:noProof/>
            <w:color w:val="0000FF"/>
            <w:sz w:val="17"/>
            <w:szCs w:val="17"/>
            <w:shd w:val="clear" w:color="auto" w:fill="FFFFFF"/>
            <w:lang w:eastAsia="en-IN"/>
          </w:rPr>
          <w:drawing>
            <wp:inline distT="0" distB="0" distL="0" distR="0">
              <wp:extent cx="304800" cy="304800"/>
              <wp:effectExtent l="0" t="0" r="0" b="0"/>
              <wp:docPr id="2" name="Picture 2" descr="bbcincor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bcincorp.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B50C9">
          <w:rPr>
            <w:rFonts w:ascii="Roboto" w:eastAsia="Times New Roman" w:hAnsi="Roboto" w:cs="Times New Roman"/>
            <w:color w:val="0000FF"/>
            <w:sz w:val="17"/>
            <w:szCs w:val="17"/>
            <w:shd w:val="clear" w:color="auto" w:fill="F8F4F1"/>
            <w:lang w:eastAsia="en-IN"/>
          </w:rPr>
          <w:t>bbcincorp.com</w:t>
        </w:r>
      </w:hyperlink>
      <w:r w:rsidRPr="00CB50C9">
        <w:rPr>
          <w:rFonts w:ascii="Roboto" w:eastAsia="Times New Roman" w:hAnsi="Roboto" w:cs="Times New Roman"/>
          <w:color w:val="000000"/>
          <w:sz w:val="24"/>
          <w:szCs w:val="24"/>
          <w:lang w:eastAsia="en-IN"/>
        </w:rPr>
        <w:t>.</w:t>
      </w:r>
    </w:p>
    <w:p w:rsidR="00CB50C9" w:rsidRPr="00CB50C9" w:rsidRDefault="00CB50C9" w:rsidP="00CB50C9">
      <w:pPr>
        <w:numPr>
          <w:ilvl w:val="0"/>
          <w:numId w:val="2"/>
        </w:numPr>
        <w:shd w:val="clear" w:color="auto" w:fill="FFFFFF"/>
        <w:spacing w:after="0" w:line="33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b/>
          <w:bCs/>
          <w:color w:val="000000"/>
          <w:sz w:val="24"/>
          <w:szCs w:val="24"/>
          <w:lang w:eastAsia="en-IN"/>
        </w:rPr>
        <w:lastRenderedPageBreak/>
        <w:t>Check for Exemptions</w:t>
      </w:r>
      <w:r w:rsidRPr="00CB50C9">
        <w:rPr>
          <w:rFonts w:ascii="Roboto" w:eastAsia="Times New Roman" w:hAnsi="Roboto" w:cs="Times New Roman"/>
          <w:color w:val="000000"/>
          <w:sz w:val="24"/>
          <w:szCs w:val="24"/>
          <w:lang w:eastAsia="en-IN"/>
        </w:rPr>
        <w:t>:</w:t>
      </w:r>
    </w:p>
    <w:p w:rsidR="00CB50C9" w:rsidRPr="00CB50C9" w:rsidRDefault="00CB50C9" w:rsidP="00CB50C9">
      <w:pPr>
        <w:numPr>
          <w:ilvl w:val="1"/>
          <w:numId w:val="2"/>
        </w:numPr>
        <w:shd w:val="clear" w:color="auto" w:fill="FFFFFF"/>
        <w:spacing w:after="0" w:line="390" w:lineRule="atLeast"/>
        <w:ind w:left="0"/>
        <w:rPr>
          <w:rFonts w:ascii="Roboto" w:eastAsia="Times New Roman" w:hAnsi="Roboto" w:cs="Times New Roman"/>
          <w:color w:val="000000"/>
          <w:sz w:val="24"/>
          <w:szCs w:val="24"/>
          <w:lang w:eastAsia="en-IN"/>
        </w:rPr>
      </w:pPr>
      <w:r w:rsidRPr="00CB50C9">
        <w:rPr>
          <w:rFonts w:ascii="Roboto" w:eastAsia="Times New Roman" w:hAnsi="Roboto" w:cs="Times New Roman"/>
          <w:color w:val="000000"/>
          <w:sz w:val="24"/>
          <w:szCs w:val="24"/>
          <w:lang w:eastAsia="en-IN"/>
        </w:rPr>
        <w:t>Some individuals may be exempt from FATCA reporting if their foreign financial assets do not meet the reporting thresholds. Additionally, certain types of accounts, like IRAs and most foreign real estate, may also be exempt </w:t>
      </w:r>
      <w:hyperlink r:id="rId13" w:tgtFrame="_blank" w:history="1">
        <w:r w:rsidRPr="00CB50C9">
          <w:rPr>
            <w:rFonts w:ascii="Roboto" w:eastAsia="Times New Roman" w:hAnsi="Roboto" w:cs="Times New Roman"/>
            <w:noProof/>
            <w:color w:val="0000FF"/>
            <w:sz w:val="17"/>
            <w:szCs w:val="17"/>
            <w:shd w:val="clear" w:color="auto" w:fill="FFFFFF"/>
            <w:lang w:eastAsia="en-IN"/>
          </w:rPr>
          <w:drawing>
            <wp:inline distT="0" distB="0" distL="0" distR="0">
              <wp:extent cx="304800" cy="304800"/>
              <wp:effectExtent l="0" t="0" r="0" b="0"/>
              <wp:docPr id="1" name="Picture 1" descr="bbcincorp.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bcincorp.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CB50C9">
          <w:rPr>
            <w:rFonts w:ascii="Roboto" w:eastAsia="Times New Roman" w:hAnsi="Roboto" w:cs="Times New Roman"/>
            <w:color w:val="0000FF"/>
            <w:sz w:val="17"/>
            <w:szCs w:val="17"/>
            <w:shd w:val="clear" w:color="auto" w:fill="F8F4F1"/>
            <w:lang w:eastAsia="en-IN"/>
          </w:rPr>
          <w:t>bbcincorp.com</w:t>
        </w:r>
      </w:hyperlink>
      <w:r w:rsidRPr="00CB50C9">
        <w:rPr>
          <w:rFonts w:ascii="Roboto" w:eastAsia="Times New Roman" w:hAnsi="Roboto" w:cs="Times New Roman"/>
          <w:color w:val="000000"/>
          <w:sz w:val="24"/>
          <w:szCs w:val="24"/>
          <w:lang w:eastAsia="en-IN"/>
        </w:rPr>
        <w:t>.</w:t>
      </w:r>
    </w:p>
    <w:p w:rsidR="00CB50C9" w:rsidRPr="00CB50C9" w:rsidRDefault="00CB50C9" w:rsidP="00CB50C9">
      <w:pPr>
        <w:shd w:val="clear" w:color="auto" w:fill="FFFFFF"/>
        <w:spacing w:after="0" w:line="330" w:lineRule="atLeast"/>
        <w:rPr>
          <w:rFonts w:ascii="Roboto" w:eastAsia="Times New Roman" w:hAnsi="Roboto" w:cs="Times New Roman"/>
          <w:color w:val="000000"/>
          <w:sz w:val="24"/>
          <w:szCs w:val="24"/>
          <w:lang w:eastAsia="en-IN"/>
        </w:rPr>
      </w:pPr>
      <w:r w:rsidRPr="00CB50C9">
        <w:rPr>
          <w:rFonts w:ascii="Roboto" w:eastAsia="Times New Roman" w:hAnsi="Roboto" w:cs="Times New Roman"/>
          <w:color w:val="000000"/>
          <w:sz w:val="24"/>
          <w:szCs w:val="24"/>
          <w:lang w:eastAsia="en-IN"/>
        </w:rPr>
        <w:t>By following these steps, you can ensure that you comply with FATCA reporting requirements and avoid potential penalties. If you have specific questions or complex situations, consider consulting a tax professional for personalized guidance.</w:t>
      </w:r>
    </w:p>
    <w:p w:rsidR="00CD70FD" w:rsidRDefault="00CD70FD">
      <w:bookmarkStart w:id="0" w:name="_GoBack"/>
      <w:bookmarkEnd w:id="0"/>
    </w:p>
    <w:sectPr w:rsidR="00CD7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D17101"/>
    <w:multiLevelType w:val="multilevel"/>
    <w:tmpl w:val="F9668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0C9"/>
    <w:rsid w:val="00CB50C9"/>
    <w:rsid w:val="00CD7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881514-E355-4DBD-9A5A-92093C003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50C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50C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50C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50C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CB50C9"/>
    <w:rPr>
      <w:b/>
      <w:bCs/>
    </w:rPr>
  </w:style>
  <w:style w:type="paragraph" w:styleId="NormalWeb">
    <w:name w:val="Normal (Web)"/>
    <w:basedOn w:val="Normal"/>
    <w:uiPriority w:val="99"/>
    <w:semiHidden/>
    <w:unhideWhenUsed/>
    <w:rsid w:val="00CB50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dcitlinksite">
    <w:name w:val="md_citlink__site"/>
    <w:basedOn w:val="DefaultParagraphFont"/>
    <w:rsid w:val="00CB50C9"/>
  </w:style>
  <w:style w:type="character" w:customStyle="1" w:styleId="mdcitlinkmore">
    <w:name w:val="md_citlink__more"/>
    <w:basedOn w:val="DefaultParagraphFont"/>
    <w:rsid w:val="00CB5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010368">
      <w:bodyDiv w:val="1"/>
      <w:marLeft w:val="0"/>
      <w:marRight w:val="0"/>
      <w:marTop w:val="0"/>
      <w:marBottom w:val="0"/>
      <w:divBdr>
        <w:top w:val="none" w:sz="0" w:space="0" w:color="auto"/>
        <w:left w:val="none" w:sz="0" w:space="0" w:color="auto"/>
        <w:bottom w:val="none" w:sz="0" w:space="0" w:color="auto"/>
        <w:right w:val="none" w:sz="0" w:space="0" w:color="auto"/>
      </w:divBdr>
      <w:divsChild>
        <w:div w:id="392970781">
          <w:marLeft w:val="0"/>
          <w:marRight w:val="0"/>
          <w:marTop w:val="0"/>
          <w:marBottom w:val="0"/>
          <w:divBdr>
            <w:top w:val="none" w:sz="0" w:space="0" w:color="auto"/>
            <w:left w:val="none" w:sz="0" w:space="0" w:color="auto"/>
            <w:bottom w:val="none" w:sz="0" w:space="0" w:color="auto"/>
            <w:right w:val="none" w:sz="0" w:space="0" w:color="auto"/>
          </w:divBdr>
          <w:divsChild>
            <w:div w:id="2003122114">
              <w:marLeft w:val="0"/>
              <w:marRight w:val="0"/>
              <w:marTop w:val="0"/>
              <w:marBottom w:val="0"/>
              <w:divBdr>
                <w:top w:val="none" w:sz="0" w:space="0" w:color="auto"/>
                <w:left w:val="none" w:sz="0" w:space="0" w:color="auto"/>
                <w:bottom w:val="none" w:sz="0" w:space="0" w:color="auto"/>
                <w:right w:val="none" w:sz="0" w:space="0" w:color="auto"/>
              </w:divBdr>
              <w:divsChild>
                <w:div w:id="1828210089">
                  <w:marLeft w:val="0"/>
                  <w:marRight w:val="0"/>
                  <w:marTop w:val="0"/>
                  <w:marBottom w:val="0"/>
                  <w:divBdr>
                    <w:top w:val="none" w:sz="0" w:space="0" w:color="auto"/>
                    <w:left w:val="none" w:sz="0" w:space="0" w:color="auto"/>
                    <w:bottom w:val="none" w:sz="0" w:space="0" w:color="auto"/>
                    <w:right w:val="none" w:sz="0" w:space="0" w:color="auto"/>
                  </w:divBdr>
                  <w:divsChild>
                    <w:div w:id="1597249833">
                      <w:marLeft w:val="0"/>
                      <w:marRight w:val="0"/>
                      <w:marTop w:val="0"/>
                      <w:marBottom w:val="0"/>
                      <w:divBdr>
                        <w:top w:val="none" w:sz="0" w:space="0" w:color="auto"/>
                        <w:left w:val="none" w:sz="0" w:space="0" w:color="auto"/>
                        <w:bottom w:val="none" w:sz="0" w:space="0" w:color="auto"/>
                        <w:right w:val="none" w:sz="0" w:space="0" w:color="auto"/>
                      </w:divBdr>
                      <w:divsChild>
                        <w:div w:id="1903712415">
                          <w:marLeft w:val="0"/>
                          <w:marRight w:val="0"/>
                          <w:marTop w:val="0"/>
                          <w:marBottom w:val="0"/>
                          <w:divBdr>
                            <w:top w:val="none" w:sz="0" w:space="0" w:color="auto"/>
                            <w:left w:val="none" w:sz="0" w:space="0" w:color="auto"/>
                            <w:bottom w:val="none" w:sz="0" w:space="0" w:color="auto"/>
                            <w:right w:val="none" w:sz="0" w:space="0" w:color="auto"/>
                          </w:divBdr>
                        </w:div>
                      </w:divsChild>
                    </w:div>
                    <w:div w:id="1714303809">
                      <w:marLeft w:val="0"/>
                      <w:marRight w:val="0"/>
                      <w:marTop w:val="0"/>
                      <w:marBottom w:val="0"/>
                      <w:divBdr>
                        <w:top w:val="none" w:sz="0" w:space="0" w:color="auto"/>
                        <w:left w:val="none" w:sz="0" w:space="0" w:color="auto"/>
                        <w:bottom w:val="none" w:sz="0" w:space="0" w:color="auto"/>
                        <w:right w:val="none" w:sz="0" w:space="0" w:color="auto"/>
                      </w:divBdr>
                      <w:divsChild>
                        <w:div w:id="105979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907058">
          <w:marLeft w:val="0"/>
          <w:marRight w:val="0"/>
          <w:marTop w:val="0"/>
          <w:marBottom w:val="0"/>
          <w:divBdr>
            <w:top w:val="none" w:sz="0" w:space="0" w:color="auto"/>
            <w:left w:val="none" w:sz="0" w:space="0" w:color="auto"/>
            <w:bottom w:val="none" w:sz="0" w:space="0" w:color="auto"/>
            <w:right w:val="none" w:sz="0" w:space="0" w:color="auto"/>
          </w:divBdr>
          <w:divsChild>
            <w:div w:id="542711314">
              <w:marLeft w:val="0"/>
              <w:marRight w:val="0"/>
              <w:marTop w:val="0"/>
              <w:marBottom w:val="0"/>
              <w:divBdr>
                <w:top w:val="none" w:sz="0" w:space="0" w:color="auto"/>
                <w:left w:val="none" w:sz="0" w:space="0" w:color="auto"/>
                <w:bottom w:val="none" w:sz="0" w:space="0" w:color="auto"/>
                <w:right w:val="none" w:sz="0" w:space="0" w:color="auto"/>
              </w:divBdr>
              <w:divsChild>
                <w:div w:id="2134670312">
                  <w:marLeft w:val="0"/>
                  <w:marRight w:val="0"/>
                  <w:marTop w:val="0"/>
                  <w:marBottom w:val="0"/>
                  <w:divBdr>
                    <w:top w:val="none" w:sz="0" w:space="0" w:color="auto"/>
                    <w:left w:val="none" w:sz="0" w:space="0" w:color="auto"/>
                    <w:bottom w:val="none" w:sz="0" w:space="0" w:color="auto"/>
                    <w:right w:val="none" w:sz="0" w:space="0" w:color="auto"/>
                  </w:divBdr>
                  <w:divsChild>
                    <w:div w:id="379785020">
                      <w:marLeft w:val="0"/>
                      <w:marRight w:val="0"/>
                      <w:marTop w:val="0"/>
                      <w:marBottom w:val="0"/>
                      <w:divBdr>
                        <w:top w:val="none" w:sz="0" w:space="0" w:color="auto"/>
                        <w:left w:val="none" w:sz="0" w:space="0" w:color="auto"/>
                        <w:bottom w:val="none" w:sz="0" w:space="0" w:color="auto"/>
                        <w:right w:val="none" w:sz="0" w:space="0" w:color="auto"/>
                      </w:divBdr>
                      <w:divsChild>
                        <w:div w:id="1277978945">
                          <w:marLeft w:val="0"/>
                          <w:marRight w:val="0"/>
                          <w:marTop w:val="0"/>
                          <w:marBottom w:val="0"/>
                          <w:divBdr>
                            <w:top w:val="none" w:sz="0" w:space="0" w:color="auto"/>
                            <w:left w:val="none" w:sz="0" w:space="0" w:color="auto"/>
                            <w:bottom w:val="none" w:sz="0" w:space="0" w:color="auto"/>
                            <w:right w:val="none" w:sz="0" w:space="0" w:color="auto"/>
                          </w:divBdr>
                          <w:divsChild>
                            <w:div w:id="1309625098">
                              <w:marLeft w:val="0"/>
                              <w:marRight w:val="0"/>
                              <w:marTop w:val="0"/>
                              <w:marBottom w:val="0"/>
                              <w:divBdr>
                                <w:top w:val="none" w:sz="0" w:space="0" w:color="auto"/>
                                <w:left w:val="none" w:sz="0" w:space="0" w:color="auto"/>
                                <w:bottom w:val="none" w:sz="0" w:space="0" w:color="auto"/>
                                <w:right w:val="none" w:sz="0" w:space="0" w:color="auto"/>
                              </w:divBdr>
                              <w:divsChild>
                                <w:div w:id="63618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ng.com/ck/a?!&amp;&amp;p=65e21fa417a9799d60fd430b1414255125118b69684fbc27a66364873da5a504JmltdHM9MTc4NDY3ODQwMA&amp;ptn=3&amp;ver=2&amp;hsh=4&amp;fclid=33090ef1-f663-62dc-2aaf-0171f7d16308&amp;psq=what+is+fatca+reporting+step+by+step+process&amp;u=a1aHR0cHM6Ly93d3cuaXJzLmdvdi9idXNpbmVzc2VzL2NvcnBvcmF0aW9ucy9zdW1tYXJ5LW9mLWZhdGNhLXJlcG9ydGluZy1mb3ItdXMtdGF4cGF5ZXJz&amp;ntb=1" TargetMode="External"/><Relationship Id="rId13" Type="http://schemas.openxmlformats.org/officeDocument/2006/relationships/hyperlink" Target="https://www.bing.com/ck/a?!&amp;&amp;p=f7a592a042df369169119fb5fd0db60e09adc0d0bff684d6355eeee626a5e7d2JmltdHM9MTc4NDY3ODQwMA&amp;ptn=3&amp;ver=2&amp;hsh=4&amp;fclid=33090ef1-f663-62dc-2aaf-0171f7d16308&amp;psq=what+is+fatca+reporting+step+by+step+process&amp;u=a1aHR0cHM6Ly9iYmNpbmNvcnAuY29tL29mZnNob3JlL2FydGljbGVzL2ZhdGNhLXJlcG9ydGluZy1yZXF1aXJlbWVudHM&amp;ntb=1" TargetMode="External"/><Relationship Id="rId3" Type="http://schemas.openxmlformats.org/officeDocument/2006/relationships/settings" Target="settings.xml"/><Relationship Id="rId7" Type="http://schemas.openxmlformats.org/officeDocument/2006/relationships/hyperlink" Target="https://www.bing.com/ck/a?!&amp;&amp;p=65e21fa417a9799d60fd430b1414255125118b69684fbc27a66364873da5a504JmltdHM9MTc4NDY3ODQwMA&amp;ptn=3&amp;ver=2&amp;hsh=4&amp;fclid=33090ef1-f663-62dc-2aaf-0171f7d16308&amp;psq=what+is+fatca+reporting+step+by+step+process&amp;u=a1aHR0cHM6Ly93d3cuaXJzLmdvdi9idXNpbmVzc2VzL2NvcnBvcmF0aW9ucy9zdW1tYXJ5LW9mLWZhdGNhLXJlcG9ydGluZy1mb3ItdXMtdGF4cGF5ZXJz&amp;ntb=1"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bing.com/ck/a?!&amp;&amp;p=f7a592a042df369169119fb5fd0db60e09adc0d0bff684d6355eeee626a5e7d2JmltdHM9MTc4NDY3ODQwMA&amp;ptn=3&amp;ver=2&amp;hsh=4&amp;fclid=33090ef1-f663-62dc-2aaf-0171f7d16308&amp;psq=what+is+fatca+reporting+step+by+step+process&amp;u=a1aHR0cHM6Ly9iYmNpbmNvcnAuY29tL29mZnNob3JlL2FydGljbGVzL2ZhdGNhLXJlcG9ydGluZy1yZXF1aXJlbWVudHM&amp;ntb=1" TargetMode="External"/><Relationship Id="rId5" Type="http://schemas.openxmlformats.org/officeDocument/2006/relationships/hyperlink" Target="https://www.bing.com/ck/a?!&amp;&amp;p=65e21fa417a9799d60fd430b1414255125118b69684fbc27a66364873da5a504JmltdHM9MTc4NDY3ODQwMA&amp;ptn=3&amp;ver=2&amp;hsh=4&amp;fclid=33090ef1-f663-62dc-2aaf-0171f7d16308&amp;psq=what+is+fatca+reporting+step+by+step+process&amp;u=a1aHR0cHM6Ly93d3cuaXJzLmdvdi9idXNpbmVzc2VzL2NvcnBvcmF0aW9ucy9zdW1tYXJ5LW9mLWZhdGNhLXJlcG9ydGluZy1mb3ItdXMtdGF4cGF5ZXJz&amp;ntb=1"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bing.com/ck/a?!&amp;&amp;p=0d1c1faf0061b377790bcf1227ff1a4485a3215b1dea72ed7d2c7c4b7b403550JmltdHM9MTc4NDY3ODQwMA&amp;ptn=3&amp;ver=2&amp;hsh=4&amp;fclid=33090ef1-f663-62dc-2aaf-0171f7d16308&amp;psq=what+is+fatca+reporting+step+by+step+process&amp;u=a1aHR0cHM6Ly93d3cuaXJzc3RyZWFtbGluZWRwcm9jZWR1cmVzLmNvbS9mYXRjYS1yZXBvcnRpbmcv&amp;ntb=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2026-07-22T12:46:00Z</dcterms:created>
  <dcterms:modified xsi:type="dcterms:W3CDTF">2026-07-22T12:47:00Z</dcterms:modified>
</cp:coreProperties>
</file>