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Bulletin SB-AX17-2026-09</w:t>
      </w:r>
    </w:p>
    <w:p>
      <w:pPr>
        <w:pStyle w:val="Heading1"/>
      </w:pPr>
      <w:r>
        <w:t>Control</w:t>
      </w:r>
    </w:p>
    <w:p>
      <w:r>
        <w:t>Status: APPROVED</w:t>
      </w:r>
    </w:p>
    <w:p>
      <w:r>
        <w:t>Effective: 07 October 2026 10:00 CET</w:t>
      </w:r>
    </w:p>
    <w:p>
      <w:r>
        <w:t>Authority: Safety Bulletin — Highest Priority</w:t>
      </w:r>
    </w:p>
    <w:p>
      <w:pPr>
        <w:pStyle w:val="Heading1"/>
      </w:pPr>
      <w:r>
        <w:t>Required Action</w:t>
      </w:r>
    </w:p>
    <w:p>
      <w:r>
        <w:t>For Germany, all Medical Affairs responses concerning AX-17 renal impairment must use label version 4.2 or later. If a retrieved source conflicts with the current local label, the current local approved label takes precedence.</w:t>
      </w:r>
    </w:p>
    <w:p>
      <w:pPr>
        <w:pStyle w:val="Heading1"/>
      </w:pPr>
      <w:r>
        <w:t>Escalation</w:t>
      </w:r>
    </w:p>
    <w:p>
      <w:r>
        <w:t>Patient-specific treatment questions must be referred to an authorized medical professional. The assistant may summarize approved evidence but may not prescribe.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