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Group — Working Capital Agreement</w:t>
      </w:r>
    </w:p>
    <w:p>
      <w:pPr>
        <w:pStyle w:val="Heading1"/>
      </w:pPr>
      <w:r>
        <w:t>Access</w:t>
      </w:r>
    </w:p>
    <w:p>
      <w:r>
        <w:t>Customer: ACME-001</w:t>
      </w:r>
    </w:p>
    <w:p>
      <w:r>
        <w:t>Classification: CONFIDENTIAL</w:t>
      </w:r>
    </w:p>
    <w:p>
      <w:r>
        <w:t>Deal team: SG-CORP-7</w:t>
      </w:r>
    </w:p>
    <w:p>
      <w:pPr>
        <w:pStyle w:val="Heading1"/>
      </w:pPr>
      <w:r>
        <w:t>Clause 12 — Covenant</w:t>
      </w:r>
    </w:p>
    <w:p>
      <w:r>
        <w:t>Acme must maintain a minimum interest coverage ratio of 2.5x.</w:t>
      </w:r>
    </w:p>
    <w:p>
      <w:pPr>
        <w:pStyle w:val="Heading1"/>
      </w:pPr>
      <w:r>
        <w:t>Clause 17 — Exceptions</w:t>
      </w:r>
    </w:p>
    <w:p>
      <w:r>
        <w:t>Any temporary covenant waiver is subject to Clause 17.4.</w:t>
      </w:r>
    </w:p>
    <w:p>
      <w:pPr>
        <w:pStyle w:val="Heading1"/>
      </w:pPr>
      <w:r>
        <w:t>Clause 17.4 — Approval</w:t>
      </w:r>
    </w:p>
    <w:p>
      <w:r>
        <w:t>A waiver exceeding 90 days requires Credit Committee approval and a documented remediation plan.</w:t>
      </w:r>
    </w:p>
    <w:p>
      <w:pPr>
        <w:pStyle w:val="Heading1"/>
      </w:pPr>
      <w:r>
        <w:t>Schedule B</w:t>
      </w:r>
    </w:p>
    <w:p>
      <w:r>
        <w:t>Approved facility limit: SGD 42 million.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