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Checkout Service Runbook — v1 OBSOLETE</w:t>
      </w:r>
    </w:p>
    <w:p>
      <w:pPr>
        <w:pStyle w:val="Heading1"/>
      </w:pPr>
      <w:r>
        <w:t>Control</w:t>
      </w:r>
    </w:p>
    <w:p>
      <w:r>
        <w:t>Status: OBSOLETE</w:t>
      </w:r>
    </w:p>
    <w:p>
      <w:r>
        <w:t>Superseded: 06 October 2026</w:t>
      </w:r>
    </w:p>
    <w:p>
      <w:pPr>
        <w:pStyle w:val="Heading1"/>
      </w:pPr>
      <w:r>
        <w:t>PAY-5037</w:t>
      </w:r>
    </w:p>
    <w:p>
      <w:r>
        <w:t>Legacy guidance recommends restarting checkout-api immediately. This instruction is obsolete after the payment gateway architecture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