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Checkout Service Runbook — v2 CURRENT</w:t>
      </w:r>
    </w:p>
    <w:p>
      <w:pPr>
        <w:pStyle w:val="Heading1"/>
      </w:pPr>
      <w:r>
        <w:t>Control</w:t>
      </w:r>
    </w:p>
    <w:p>
      <w:r>
        <w:t>Service: checkout-api</w:t>
      </w:r>
    </w:p>
    <w:p>
      <w:r>
        <w:t>Environment: production</w:t>
      </w:r>
    </w:p>
    <w:p>
      <w:r>
        <w:t>Status: CURRENT</w:t>
      </w:r>
    </w:p>
    <w:p>
      <w:r>
        <w:t>Effective: 06 October 2026</w:t>
      </w:r>
    </w:p>
    <w:p>
      <w:pPr>
        <w:pStyle w:val="Heading1"/>
      </w:pPr>
      <w:r>
        <w:t>PAY-5037</w:t>
      </w:r>
    </w:p>
    <w:p>
      <w:r>
        <w:t>PAY-5037 indicates upstream payment-gateway timeout saturation. Verify gateway latency, connection pool exhaustion and recent deployment configuration before remediation.</w:t>
      </w:r>
    </w:p>
    <w:p>
      <w:pPr>
        <w:pStyle w:val="Heading1"/>
      </w:pPr>
      <w:r>
        <w:t>Safety</w:t>
      </w:r>
    </w:p>
    <w:p>
      <w:r>
        <w:t>Do not restart production solely from an LLM recommendation. Follow incident-command approval and change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