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HelixNova Safety Bulletin SB-AX17-2026-09</w:t>
      </w:r>
    </w:p>
    <w:p>
      <w:r>
        <w:t>Status: APPROVED - HIGH AUTHORITY</w:t>
      </w:r>
    </w:p>
    <w:p>
      <w:r>
        <w:t>Effective: 07-Oct-2026 10:00 CET</w:t>
      </w:r>
    </w:p>
    <w:p>
      <w:r>
        <w:t>Products: AX-17</w:t>
      </w:r>
    </w:p>
    <w:p>
      <w:r>
        <w:t>Jurisdictions: Germany, Singapore, UAE</w:t>
      </w:r>
    </w:p>
    <w:p>
      <w:r>
        <w:t>Subject: Temporary hepatic monitoring enhancement</w:t>
      </w:r>
    </w:p>
    <w:p>
      <w:r>
        <w:t>Baseline hepatic laboratory values are required with repeat testing between Day 14 and Day 21. This bulletin does not change the approved German renal starting dose of 25 mg once daily for moderate renal impairment.</w:t>
      </w:r>
    </w:p>
    <w:p>
      <w:pPr>
        <w:pStyle w:val="Heading1"/>
      </w:pPr>
      <w:r>
        <w:t>1. Safety Evidence and Operational Guidance</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Nausea was reported in 17.2%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96 evaluable participants in this analysis. Investigators recorded treatment-emergent findings, laboratory changes, dose interruptions, concomitant therapy, and clinically relevant renal and hepatic observations. Transaminase elevation was reported in 9.5%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Rash was reported in 16.0%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72 evaluable participants in this analysis. Investigators recorded treatment-emergent findings, laboratory changes, dose interruptions, concomitant therapy, and clinically relevant renal and hepatic observations. Nausea was reported in 5.2%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96 evaluable participants in this analysis. Investigators recorded treatment-emergent findings, laboratory changes, dose interruptions, concomitant therapy, and clinically relevant renal and hepatic observations. Nausea was reported in 6.1%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pPr>
        <w:pStyle w:val="Heading1"/>
      </w:pPr>
      <w:r>
        <w:t>2. Safety Evidence and Operational Guidance</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Nausea was reported in 9.2%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Transaminase elevation was reported in 4.4%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240 evaluable participants in this analysis. Investigators recorded treatment-emergent findings, laboratory changes, dose interruptions, concomitant therapy, and clinically relevant renal and hepatic observations. Nausea was reported in 18.2%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Nausea was reported in 4.5%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96 evaluable participants in this analysis. Investigators recorded treatment-emergent findings, laboratory changes, dose interruptions, concomitant therapy, and clinically relevant renal and hepatic observations. Rash was reported in 16.5%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pPr>
        <w:pStyle w:val="Heading1"/>
      </w:pPr>
      <w:r>
        <w:t>3. Safety Evidence and Operational Guidance</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Rash was reported in 14.4%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96 evaluable participants in this analysis. Investigators recorded treatment-emergent findings, laboratory changes, dose interruptions, concomitant therapy, and clinically relevant renal and hepatic observations. Headache was reported in 5.0%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Rash was reported in 11.4%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Nausea was reported in 12.9%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72 evaluable participants in this analysis. Investigators recorded treatment-emergent findings, laboratory changes, dose interruptions, concomitant therapy, and clinically relevant renal and hepatic observations. Nausea was reported in 9.6%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pPr>
        <w:pStyle w:val="Heading1"/>
      </w:pPr>
      <w:r>
        <w:t>4. Safety Evidence and Operational Guidance</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Transaminase elevation was reported in 12.6%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96 evaluable participants in this analysis. Investigators recorded treatment-emergent findings, laboratory changes, dose interruptions, concomitant therapy, and clinically relevant renal and hepatic observations. Nausea was reported in 11.1%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Headache was reported in 5.1%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Dizziness was reported in 10.9%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Transaminase elevation was reported in 10.0%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tbl>
      <w:tblPr>
        <w:tblW w:type="auto" w:w="0"/>
        <w:tblLook w:firstColumn="1" w:firstRow="1" w:lastColumn="0" w:lastRow="0" w:noHBand="0" w:noVBand="1" w:val="04A0"/>
      </w:tblPr>
      <w:tblGrid>
        <w:gridCol w:w="2160"/>
        <w:gridCol w:w="2160"/>
        <w:gridCol w:w="2160"/>
        <w:gridCol w:w="2160"/>
      </w:tblGrid>
      <w:tr>
        <w:tc>
          <w:tcPr>
            <w:tcW w:type="dxa" w:w="2160"/>
          </w:tcPr>
          <w:p>
            <w:r>
              <w:t>Signal</w:t>
            </w:r>
          </w:p>
        </w:tc>
        <w:tc>
          <w:tcPr>
            <w:tcW w:type="dxa" w:w="2160"/>
          </w:tcPr>
          <w:p>
            <w:r>
              <w:t>Threshold</w:t>
            </w:r>
          </w:p>
        </w:tc>
        <w:tc>
          <w:tcPr>
            <w:tcW w:type="dxa" w:w="2160"/>
          </w:tcPr>
          <w:p>
            <w:r>
              <w:t>Action</w:t>
            </w:r>
          </w:p>
        </w:tc>
        <w:tc>
          <w:tcPr>
            <w:tcW w:type="dxa" w:w="2160"/>
          </w:tcPr>
          <w:p>
            <w:r>
              <w:t>Authority</w:t>
            </w:r>
          </w:p>
        </w:tc>
      </w:tr>
      <w:tr>
        <w:tc>
          <w:tcPr>
            <w:tcW w:type="dxa" w:w="2160"/>
          </w:tcPr>
          <w:p>
            <w:r>
              <w:t>ALT/AST</w:t>
            </w:r>
          </w:p>
        </w:tc>
        <w:tc>
          <w:tcPr>
            <w:tcW w:type="dxa" w:w="2160"/>
          </w:tcPr>
          <w:p>
            <w:r>
              <w:t>&gt;3x ULN</w:t>
            </w:r>
          </w:p>
        </w:tc>
        <w:tc>
          <w:tcPr>
            <w:tcW w:type="dxa" w:w="2160"/>
          </w:tcPr>
          <w:p>
            <w:r>
              <w:t>Medical review</w:t>
            </w:r>
          </w:p>
        </w:tc>
        <w:tc>
          <w:tcPr>
            <w:tcW w:type="dxa" w:w="2160"/>
          </w:tcPr>
          <w:p>
            <w:r>
              <w:t>Bulletin</w:t>
            </w:r>
          </w:p>
        </w:tc>
      </w:tr>
      <w:tr>
        <w:tc>
          <w:tcPr>
            <w:tcW w:type="dxa" w:w="2160"/>
          </w:tcPr>
          <w:p>
            <w:r>
              <w:t>Bilirubin</w:t>
            </w:r>
          </w:p>
        </w:tc>
        <w:tc>
          <w:tcPr>
            <w:tcW w:type="dxa" w:w="2160"/>
          </w:tcPr>
          <w:p>
            <w:r>
              <w:t>&gt;2x ULN</w:t>
            </w:r>
          </w:p>
        </w:tc>
        <w:tc>
          <w:tcPr>
            <w:tcW w:type="dxa" w:w="2160"/>
          </w:tcPr>
          <w:p>
            <w:r>
              <w:t>Urgent review</w:t>
            </w:r>
          </w:p>
        </w:tc>
        <w:tc>
          <w:tcPr>
            <w:tcW w:type="dxa" w:w="2160"/>
          </w:tcPr>
          <w:p>
            <w:r>
              <w:t>Bulletin</w:t>
            </w:r>
          </w:p>
        </w:tc>
      </w:tr>
      <w:tr>
        <w:tc>
          <w:tcPr>
            <w:tcW w:type="dxa" w:w="2160"/>
          </w:tcPr>
          <w:p>
            <w:r>
              <w:t>Mild isolated change</w:t>
            </w:r>
          </w:p>
        </w:tc>
        <w:tc>
          <w:tcPr>
            <w:tcW w:type="dxa" w:w="2160"/>
          </w:tcPr>
          <w:p>
            <w:r>
              <w:t>Below trigger</w:t>
            </w:r>
          </w:p>
        </w:tc>
        <w:tc>
          <w:tcPr>
            <w:tcW w:type="dxa" w:w="2160"/>
          </w:tcPr>
          <w:p>
            <w:r>
              <w:t>Repeat test</w:t>
            </w:r>
          </w:p>
        </w:tc>
        <w:tc>
          <w:tcPr>
            <w:tcW w:type="dxa" w:w="2160"/>
          </w:tcPr>
          <w:p>
            <w:r>
              <w:t>Protocol</w:t>
            </w:r>
          </w:p>
        </w:tc>
      </w:tr>
    </w:tbl>
    <w:p>
      <w:pPr>
        <w:pStyle w:val="Heading1"/>
      </w:pPr>
      <w:r>
        <w:t>5. Safety Evidence and Operational Guidance</w:t>
      </w:r>
    </w:p>
    <w:p>
      <w:r>
        <w:t>Safety surveillance. The controlled AX-17 evidence package for Germany included 72 evaluable participants in this analysis. Investigators recorded treatment-emergent findings, laboratory changes, dose interruptions, concomitant therapy, and clinically relevant renal and hepatic observations. Transaminase elevation was reported in 18.4%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240 evaluable participants in this analysis. Investigators recorded treatment-emergent findings, laboratory changes, dose interruptions, concomitant therapy, and clinically relevant renal and hepatic observations. Fatigue was reported in 18.6%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Dizziness was reported in 16.7%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240 evaluable participants in this analysis. Investigators recorded treatment-emergent findings, laboratory changes, dose interruptions, concomitant therapy, and clinically relevant renal and hepatic observations. Fatigue was reported in 17.6%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Headache was reported in 9.6%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pPr>
        <w:pStyle w:val="Heading1"/>
      </w:pPr>
      <w:r>
        <w:t>6. Safety Evidence and Operational Guidance</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Transaminase elevation was reported in 5.0%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72 evaluable participants in this analysis. Investigators recorded treatment-emergent findings, laboratory changes, dose interruptions, concomitant therapy, and clinically relevant renal and hepatic observations. Headache was reported in 18.0%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Headache was reported in 17.3%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240 evaluable participants in this analysis. Investigators recorded treatment-emergent findings, laboratory changes, dose interruptions, concomitant therapy, and clinically relevant renal and hepatic observations. Rash was reported in 3.4%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Headache was reported in 5.0%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pPr>
        <w:pStyle w:val="Heading1"/>
      </w:pPr>
      <w:r>
        <w:t>7. Safety Evidence and Operational Guidance</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Headache was reported in 10.6%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240 evaluable participants in this analysis. Investigators recorded treatment-emergent findings, laboratory changes, dose interruptions, concomitant therapy, and clinically relevant renal and hepatic observations. Nausea was reported in 5.1%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240 evaluable participants in this analysis. Investigators recorded treatment-emergent findings, laboratory changes, dose interruptions, concomitant therapy, and clinically relevant renal and hepatic observations. Dizziness was reported in 4.9%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Dizziness was reported in 17.5%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240 evaluable participants in this analysis. Investigators recorded treatment-emergent findings, laboratory changes, dose interruptions, concomitant therapy, and clinically relevant renal and hepatic observations. Dizziness was reported in 14.3%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pPr>
        <w:pStyle w:val="Heading1"/>
      </w:pPr>
      <w:r>
        <w:t>8. Safety Evidence and Operational Guidance</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Headache was reported in 17.6%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96 evaluable participants in this analysis. Investigators recorded treatment-emergent findings, laboratory changes, dose interruptions, concomitant therapy, and clinically relevant renal and hepatic observations. Dizziness was reported in 10.6%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Nausea was reported in 15.2%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240 evaluable participants in this analysis. Investigators recorded treatment-emergent findings, laboratory changes, dose interruptions, concomitant therapy, and clinically relevant renal and hepatic observations. Dizziness was reported in 16.7%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Transaminase elevation was reported in 9.1%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pPr>
        <w:pStyle w:val="Heading1"/>
      </w:pPr>
      <w:r>
        <w:t>9. Safety Evidence and Operational Guidance</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Dizziness was reported in 14.2%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72 evaluable participants in this analysis. Investigators recorded treatment-emergent findings, laboratory changes, dose interruptions, concomitant therapy, and clinically relevant renal and hepatic observations. Transaminase elevation was reported in 11.1%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Headache was reported in 6.6%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240 evaluable participants in this analysis. Investigators recorded treatment-emergent findings, laboratory changes, dose interruptions, concomitant therapy, and clinically relevant renal and hepatic observations. Headache was reported in 11.4%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240 evaluable participants in this analysis. Investigators recorded treatment-emergent findings, laboratory changes, dose interruptions, concomitant therapy, and clinically relevant renal and hepatic observations. Fatigue was reported in 12.1%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tbl>
      <w:tblPr>
        <w:tblW w:type="auto" w:w="0"/>
        <w:tblLook w:firstColumn="1" w:firstRow="1" w:lastColumn="0" w:lastRow="0" w:noHBand="0" w:noVBand="1" w:val="04A0"/>
      </w:tblPr>
      <w:tblGrid>
        <w:gridCol w:w="2160"/>
        <w:gridCol w:w="2160"/>
        <w:gridCol w:w="2160"/>
        <w:gridCol w:w="2160"/>
      </w:tblGrid>
      <w:tr>
        <w:tc>
          <w:tcPr>
            <w:tcW w:type="dxa" w:w="2160"/>
          </w:tcPr>
          <w:p>
            <w:r>
              <w:t>Signal</w:t>
            </w:r>
          </w:p>
        </w:tc>
        <w:tc>
          <w:tcPr>
            <w:tcW w:type="dxa" w:w="2160"/>
          </w:tcPr>
          <w:p>
            <w:r>
              <w:t>Threshold</w:t>
            </w:r>
          </w:p>
        </w:tc>
        <w:tc>
          <w:tcPr>
            <w:tcW w:type="dxa" w:w="2160"/>
          </w:tcPr>
          <w:p>
            <w:r>
              <w:t>Action</w:t>
            </w:r>
          </w:p>
        </w:tc>
        <w:tc>
          <w:tcPr>
            <w:tcW w:type="dxa" w:w="2160"/>
          </w:tcPr>
          <w:p>
            <w:r>
              <w:t>Authority</w:t>
            </w:r>
          </w:p>
        </w:tc>
      </w:tr>
      <w:tr>
        <w:tc>
          <w:tcPr>
            <w:tcW w:type="dxa" w:w="2160"/>
          </w:tcPr>
          <w:p>
            <w:r>
              <w:t>ALT/AST</w:t>
            </w:r>
          </w:p>
        </w:tc>
        <w:tc>
          <w:tcPr>
            <w:tcW w:type="dxa" w:w="2160"/>
          </w:tcPr>
          <w:p>
            <w:r>
              <w:t>&gt;3x ULN</w:t>
            </w:r>
          </w:p>
        </w:tc>
        <w:tc>
          <w:tcPr>
            <w:tcW w:type="dxa" w:w="2160"/>
          </w:tcPr>
          <w:p>
            <w:r>
              <w:t>Medical review</w:t>
            </w:r>
          </w:p>
        </w:tc>
        <w:tc>
          <w:tcPr>
            <w:tcW w:type="dxa" w:w="2160"/>
          </w:tcPr>
          <w:p>
            <w:r>
              <w:t>Bulletin</w:t>
            </w:r>
          </w:p>
        </w:tc>
      </w:tr>
      <w:tr>
        <w:tc>
          <w:tcPr>
            <w:tcW w:type="dxa" w:w="2160"/>
          </w:tcPr>
          <w:p>
            <w:r>
              <w:t>Bilirubin</w:t>
            </w:r>
          </w:p>
        </w:tc>
        <w:tc>
          <w:tcPr>
            <w:tcW w:type="dxa" w:w="2160"/>
          </w:tcPr>
          <w:p>
            <w:r>
              <w:t>&gt;2x ULN</w:t>
            </w:r>
          </w:p>
        </w:tc>
        <w:tc>
          <w:tcPr>
            <w:tcW w:type="dxa" w:w="2160"/>
          </w:tcPr>
          <w:p>
            <w:r>
              <w:t>Urgent review</w:t>
            </w:r>
          </w:p>
        </w:tc>
        <w:tc>
          <w:tcPr>
            <w:tcW w:type="dxa" w:w="2160"/>
          </w:tcPr>
          <w:p>
            <w:r>
              <w:t>Bulletin</w:t>
            </w:r>
          </w:p>
        </w:tc>
      </w:tr>
      <w:tr>
        <w:tc>
          <w:tcPr>
            <w:tcW w:type="dxa" w:w="2160"/>
          </w:tcPr>
          <w:p>
            <w:r>
              <w:t>Mild isolated change</w:t>
            </w:r>
          </w:p>
        </w:tc>
        <w:tc>
          <w:tcPr>
            <w:tcW w:type="dxa" w:w="2160"/>
          </w:tcPr>
          <w:p>
            <w:r>
              <w:t>Below trigger</w:t>
            </w:r>
          </w:p>
        </w:tc>
        <w:tc>
          <w:tcPr>
            <w:tcW w:type="dxa" w:w="2160"/>
          </w:tcPr>
          <w:p>
            <w:r>
              <w:t>Repeat test</w:t>
            </w:r>
          </w:p>
        </w:tc>
        <w:tc>
          <w:tcPr>
            <w:tcW w:type="dxa" w:w="2160"/>
          </w:tcPr>
          <w:p>
            <w:r>
              <w:t>Protocol</w:t>
            </w:r>
          </w:p>
        </w:tc>
      </w:tr>
    </w:tbl>
    <w:p>
      <w:pPr>
        <w:pStyle w:val="Heading1"/>
      </w:pPr>
      <w:r>
        <w:t>10. Safety Evidence and Operational Guidance</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Nausea was reported in 7.4%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96 evaluable participants in this analysis. Investigators recorded treatment-emergent findings, laboratory changes, dose interruptions, concomitant therapy, and clinically relevant renal and hepatic observations. Headache was reported in 18.0%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Dizziness was reported in 15.8%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96 evaluable participants in this analysis. Investigators recorded treatment-emergent findings, laboratory changes, dose interruptions, concomitant therapy, and clinically relevant renal and hepatic observations. Transaminase elevation was reported in 11.2%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72 evaluable participants in this analysis. Investigators recorded treatment-emergent findings, laboratory changes, dose interruptions, concomitant therapy, and clinically relevant renal and hepatic observations. Rash was reported in 16.9%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pPr>
        <w:pStyle w:val="Heading1"/>
      </w:pPr>
      <w:r>
        <w:t>11. Safety Evidence and Operational Guidance</w:t>
      </w:r>
    </w:p>
    <w:p>
      <w:r>
        <w:t>Safety surveillance. The controlled AX-17 evidence package for Germany included 72 evaluable participants in this analysis. Investigators recorded treatment-emergent findings, laboratory changes, dose interruptions, concomitant therapy, and clinically relevant renal and hepatic observations. Nausea was reported in 8.9%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240 evaluable participants in this analysis. Investigators recorded treatment-emergent findings, laboratory changes, dose interruptions, concomitant therapy, and clinically relevant renal and hepatic observations. Headache was reported in 11.8%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Dizziness was reported in 9.6%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Fatigue was reported in 4.6%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Rash was reported in 16.3%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pPr>
        <w:pStyle w:val="Heading1"/>
      </w:pPr>
      <w:r>
        <w:t>12. Safety Evidence and Operational Guidance</w:t>
      </w:r>
    </w:p>
    <w:p>
      <w:r>
        <w:t>Safety surveillance. The controlled AX-17 evidence package for Germany included 72 evaluable participants in this analysis. Investigators recorded treatment-emergent findings, laboratory changes, dose interruptions, concomitant therapy, and clinically relevant renal and hepatic observations. Rash was reported in 17.2%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72 evaluable participants in this analysis. Investigators recorded treatment-emergent findings, laboratory changes, dose interruptions, concomitant therapy, and clinically relevant renal and hepatic observations. Nausea was reported in 15.1%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96 evaluable participants in this analysis. Investigators recorded treatment-emergent findings, laboratory changes, dose interruptions, concomitant therapy, and clinically relevant renal and hepatic observations. Headache was reported in 15.1%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Headache was reported in 3.2%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Headache was reported in 8.4%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pPr>
        <w:pStyle w:val="Heading1"/>
      </w:pPr>
      <w:r>
        <w:t>13. Safety Evidence and Operational Guidance</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Nausea was reported in 14.4%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240 evaluable participants in this analysis. Investigators recorded treatment-emergent findings, laboratory changes, dose interruptions, concomitant therapy, and clinically relevant renal and hepatic observations. Transaminase elevation was reported in 14.8%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96 evaluable participants in this analysis. Investigators recorded treatment-emergent findings, laboratory changes, dose interruptions, concomitant therapy, and clinically relevant renal and hepatic observations. Headache was reported in 8.5%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Transaminase elevation was reported in 14.1%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Nausea was reported in 6.7%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pPr>
        <w:pStyle w:val="Heading1"/>
      </w:pPr>
      <w:r>
        <w:t>14. Safety Evidence and Operational Guidance</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Rash was reported in 14.7%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Fatigue was reported in 18.0%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Transaminase elevation was reported in 14.3%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72 evaluable participants in this analysis. Investigators recorded treatment-emergent findings, laboratory changes, dose interruptions, concomitant therapy, and clinically relevant renal and hepatic observations. Transaminase elevation was reported in 5.1%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Nausea was reported in 6.2%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tbl>
      <w:tblPr>
        <w:tblW w:type="auto" w:w="0"/>
        <w:tblLook w:firstColumn="1" w:firstRow="1" w:lastColumn="0" w:lastRow="0" w:noHBand="0" w:noVBand="1" w:val="04A0"/>
      </w:tblPr>
      <w:tblGrid>
        <w:gridCol w:w="2160"/>
        <w:gridCol w:w="2160"/>
        <w:gridCol w:w="2160"/>
        <w:gridCol w:w="2160"/>
      </w:tblGrid>
      <w:tr>
        <w:tc>
          <w:tcPr>
            <w:tcW w:type="dxa" w:w="2160"/>
          </w:tcPr>
          <w:p>
            <w:r>
              <w:t>Signal</w:t>
            </w:r>
          </w:p>
        </w:tc>
        <w:tc>
          <w:tcPr>
            <w:tcW w:type="dxa" w:w="2160"/>
          </w:tcPr>
          <w:p>
            <w:r>
              <w:t>Threshold</w:t>
            </w:r>
          </w:p>
        </w:tc>
        <w:tc>
          <w:tcPr>
            <w:tcW w:type="dxa" w:w="2160"/>
          </w:tcPr>
          <w:p>
            <w:r>
              <w:t>Action</w:t>
            </w:r>
          </w:p>
        </w:tc>
        <w:tc>
          <w:tcPr>
            <w:tcW w:type="dxa" w:w="2160"/>
          </w:tcPr>
          <w:p>
            <w:r>
              <w:t>Authority</w:t>
            </w:r>
          </w:p>
        </w:tc>
      </w:tr>
      <w:tr>
        <w:tc>
          <w:tcPr>
            <w:tcW w:type="dxa" w:w="2160"/>
          </w:tcPr>
          <w:p>
            <w:r>
              <w:t>ALT/AST</w:t>
            </w:r>
          </w:p>
        </w:tc>
        <w:tc>
          <w:tcPr>
            <w:tcW w:type="dxa" w:w="2160"/>
          </w:tcPr>
          <w:p>
            <w:r>
              <w:t>&gt;3x ULN</w:t>
            </w:r>
          </w:p>
        </w:tc>
        <w:tc>
          <w:tcPr>
            <w:tcW w:type="dxa" w:w="2160"/>
          </w:tcPr>
          <w:p>
            <w:r>
              <w:t>Medical review</w:t>
            </w:r>
          </w:p>
        </w:tc>
        <w:tc>
          <w:tcPr>
            <w:tcW w:type="dxa" w:w="2160"/>
          </w:tcPr>
          <w:p>
            <w:r>
              <w:t>Bulletin</w:t>
            </w:r>
          </w:p>
        </w:tc>
      </w:tr>
      <w:tr>
        <w:tc>
          <w:tcPr>
            <w:tcW w:type="dxa" w:w="2160"/>
          </w:tcPr>
          <w:p>
            <w:r>
              <w:t>Bilirubin</w:t>
            </w:r>
          </w:p>
        </w:tc>
        <w:tc>
          <w:tcPr>
            <w:tcW w:type="dxa" w:w="2160"/>
          </w:tcPr>
          <w:p>
            <w:r>
              <w:t>&gt;2x ULN</w:t>
            </w:r>
          </w:p>
        </w:tc>
        <w:tc>
          <w:tcPr>
            <w:tcW w:type="dxa" w:w="2160"/>
          </w:tcPr>
          <w:p>
            <w:r>
              <w:t>Urgent review</w:t>
            </w:r>
          </w:p>
        </w:tc>
        <w:tc>
          <w:tcPr>
            <w:tcW w:type="dxa" w:w="2160"/>
          </w:tcPr>
          <w:p>
            <w:r>
              <w:t>Bulletin</w:t>
            </w:r>
          </w:p>
        </w:tc>
      </w:tr>
      <w:tr>
        <w:tc>
          <w:tcPr>
            <w:tcW w:type="dxa" w:w="2160"/>
          </w:tcPr>
          <w:p>
            <w:r>
              <w:t>Mild isolated change</w:t>
            </w:r>
          </w:p>
        </w:tc>
        <w:tc>
          <w:tcPr>
            <w:tcW w:type="dxa" w:w="2160"/>
          </w:tcPr>
          <w:p>
            <w:r>
              <w:t>Below trigger</w:t>
            </w:r>
          </w:p>
        </w:tc>
        <w:tc>
          <w:tcPr>
            <w:tcW w:type="dxa" w:w="2160"/>
          </w:tcPr>
          <w:p>
            <w:r>
              <w:t>Repeat test</w:t>
            </w:r>
          </w:p>
        </w:tc>
        <w:tc>
          <w:tcPr>
            <w:tcW w:type="dxa" w:w="2160"/>
          </w:tcPr>
          <w:p>
            <w:r>
              <w:t>Protocol</w:t>
            </w:r>
          </w:p>
        </w:tc>
      </w:tr>
    </w:tbl>
    <w:p>
      <w:pPr>
        <w:pStyle w:val="Heading1"/>
      </w:pPr>
      <w:r>
        <w:t>15. Safety Evidence and Operational Guidance</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Fatigue was reported in 15.2%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Transaminase elevation was reported in 11.9%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Headache was reported in 17.3%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Dizziness was reported in 12.6%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Headache was reported in 16.6%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pPr>
        <w:pStyle w:val="Heading1"/>
      </w:pPr>
      <w:r>
        <w:t>16. Safety Evidence and Operational Guidance</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Fatigue was reported in 4.0%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72 evaluable participants in this analysis. Investigators recorded treatment-emergent findings, laboratory changes, dose interruptions, concomitant therapy, and clinically relevant renal and hepatic observations. Fatigue was reported in 15.8%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Headache was reported in 13.4%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Dizziness was reported in 5.8%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48 evaluable participants in this analysis. Investigators recorded treatment-emergent findings, laboratory changes, dose interruptions, concomitant therapy, and clinically relevant renal and hepatic observations. Transaminase elevation was reported in 7.3%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pPr>
        <w:pStyle w:val="Heading1"/>
      </w:pPr>
      <w:r>
        <w:t>17. Safety Evidence and Operational Guidance</w:t>
      </w:r>
    </w:p>
    <w:p>
      <w:r>
        <w:t>Safety surveillance. The controlled AX-17 evidence package for Germany included 96 evaluable participants in this analysis. Investigators recorded treatment-emergent findings, laboratory changes, dose interruptions, concomitant therapy, and clinically relevant renal and hepatic observations. Nausea was reported in 17.7%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96 evaluable participants in this analysis. Investigators recorded treatment-emergent findings, laboratory changes, dose interruptions, concomitant therapy, and clinically relevant renal and hepatic observations. Fatigue was reported in 15.5%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72 evaluable participants in this analysis. Investigators recorded treatment-emergent findings, laboratory changes, dose interruptions, concomitant therapy, and clinically relevant renal and hepatic observations. Fatigue was reported in 8.0%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Fatigue was reported in 7.8%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Dizziness was reported in 5.1%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pPr>
        <w:pStyle w:val="Heading1"/>
      </w:pPr>
      <w:r>
        <w:t>18. Safety Evidence and Operational Guidance</w:t>
      </w:r>
    </w:p>
    <w:p>
      <w:r>
        <w:t>Safety surveillance. The controlled AX-17 evidence package for Germany included 72 evaluable participants in this analysis. Investigators recorded treatment-emergent findings, laboratory changes, dose interruptions, concomitant therapy, and clinically relevant renal and hepatic observations. Headache was reported in 10.7%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Headache was reported in 11.3%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120 evaluable participants in this analysis. Investigators recorded treatment-emergent findings, laboratory changes, dose interruptions, concomitant therapy, and clinically relevant renal and hepatic observations. Nausea was reported in 10.7%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180 evaluable participants in this analysis. Investigators recorded treatment-emergent findings, laboratory changes, dose interruptions, concomitant therapy, and clinically relevant renal and hepatic observations. Headache was reported in 17.4%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t>Safety surveillance. The controlled AX-17 evidence package for Germany included 240 evaluable participants in this analysis. Investigators recorded treatment-emergent findings, laboratory changes, dose interruptions, concomitant therapy, and clinically relevant renal and hepatic observations. Headache was reported in 18.1% of the described subgroup. This value is descriptive and must be interpreted only within the population, study, jurisdiction, version, and effective-date context in which it appears. Tables, warnings, captions, footnotes, and parent headings may modify the meaning of this paragraph and therefore form part of the retrievable evidence. HelixNova medical review requires source identity, document status, page context, and authority to remain traceable through downstream retrieval and generation.</w:t>
      </w:r>
    </w:p>
    <w:p>
      <w:r>
        <w:drawing>
          <wp:inline xmlns:a="http://schemas.openxmlformats.org/drawingml/2006/main" xmlns:pic="http://schemas.openxmlformats.org/drawingml/2006/picture">
            <wp:extent cx="5486400" cy="2821577"/>
            <wp:docPr id="1" name="Picture 1"/>
            <wp:cNvGraphicFramePr>
              <a:graphicFrameLocks noChangeAspect="1"/>
            </wp:cNvGraphicFramePr>
            <a:graphic>
              <a:graphicData uri="http://schemas.openxmlformats.org/drawingml/2006/picture">
                <pic:pic>
                  <pic:nvPicPr>
                    <pic:cNvPr id="0" name="hepatic.png"/>
                    <pic:cNvPicPr/>
                  </pic:nvPicPr>
                  <pic:blipFill>
                    <a:blip r:embed="rId9"/>
                    <a:stretch>
                      <a:fillRect/>
                    </a:stretch>
                  </pic:blipFill>
                  <pic:spPr>
                    <a:xfrm>
                      <a:off x="0" y="0"/>
                      <a:ext cx="5486400" cy="282157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