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85D9" w14:textId="77777777" w:rsidR="00452281" w:rsidRPr="001D507F" w:rsidRDefault="00452281" w:rsidP="00452281">
      <w:pPr>
        <w:pStyle w:val="NoSpacing"/>
        <w:ind w:left="60"/>
        <w:rPr>
          <w:rFonts w:asciiTheme="minorHAnsi" w:eastAsia="Tw Cen MT" w:hAnsiTheme="minorHAnsi" w:cstheme="minorHAnsi"/>
          <w:iCs/>
          <w:color w:val="000000" w:themeColor="text1"/>
          <w:sz w:val="24"/>
          <w:szCs w:val="24"/>
          <w:lang w:val="en-US" w:eastAsia="ja-JP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D507F">
        <w:rPr>
          <w:rFonts w:asciiTheme="minorHAnsi" w:eastAsia="Tw Cen MT" w:hAnsiTheme="minorHAnsi" w:cstheme="minorHAnsi"/>
          <w:iCs/>
          <w:color w:val="000000" w:themeColor="text1"/>
          <w:sz w:val="32"/>
          <w:szCs w:val="32"/>
          <w:lang w:val="en-US" w:eastAsia="ja-JP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AMIT KUMAR</w:t>
      </w:r>
      <w:r w:rsidRPr="001D507F">
        <w:rPr>
          <w:rFonts w:asciiTheme="minorHAnsi" w:eastAsia="Tw Cen MT" w:hAnsiTheme="minorHAnsi" w:cstheme="minorHAnsi"/>
          <w:iCs/>
          <w:color w:val="000000" w:themeColor="text1"/>
          <w:sz w:val="32"/>
          <w:szCs w:val="32"/>
          <w:lang w:val="en-US" w:eastAsia="ja-JP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 xml:space="preserve"> </w:t>
      </w:r>
    </w:p>
    <w:p w14:paraId="255CA795" w14:textId="77777777" w:rsidR="00452281" w:rsidRPr="001D507F" w:rsidRDefault="00452281" w:rsidP="00452281">
      <w:pPr>
        <w:pStyle w:val="NoSpacing"/>
        <w:ind w:left="60"/>
        <w:rPr>
          <w:rFonts w:asciiTheme="minorHAnsi" w:eastAsia="Tw Cen MT" w:hAnsiTheme="minorHAnsi" w:cstheme="minorHAnsi"/>
          <w:iCs/>
          <w:color w:val="000000" w:themeColor="text1"/>
          <w:sz w:val="26"/>
          <w:szCs w:val="26"/>
          <w:lang w:val="en-US" w:eastAsia="ja-JP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D507F">
        <w:rPr>
          <w:rFonts w:asciiTheme="minorHAnsi" w:eastAsia="Tw Cen MT" w:hAnsiTheme="minorHAnsi" w:cstheme="minorHAnsi"/>
          <w:iCs/>
          <w:color w:val="000000" w:themeColor="text1"/>
          <w:sz w:val="26"/>
          <w:szCs w:val="26"/>
          <w:lang w:val="en-US" w:eastAsia="ja-JP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CMA, MBA (Finance), BCOM (H)       </w:t>
      </w:r>
    </w:p>
    <w:p w14:paraId="6E95B91F" w14:textId="77777777" w:rsidR="00452281" w:rsidRPr="001D507F" w:rsidRDefault="00452281" w:rsidP="00452281">
      <w:pPr>
        <w:pStyle w:val="NoSpacing"/>
        <w:ind w:left="60"/>
        <w:rPr>
          <w:rFonts w:asciiTheme="minorHAnsi" w:eastAsia="Tw Cen MT" w:hAnsiTheme="minorHAnsi" w:cstheme="minorHAnsi"/>
          <w:iCs/>
          <w:sz w:val="24"/>
          <w:szCs w:val="24"/>
          <w:u w:val="single"/>
          <w:lang w:val="en-US" w:eastAsia="ja-JP"/>
        </w:rPr>
      </w:pPr>
      <w:r>
        <w:rPr>
          <w:rFonts w:asciiTheme="minorHAnsi" w:eastAsia="Tw Cen MT" w:hAnsiTheme="minorHAnsi" w:cstheme="minorHAnsi"/>
          <w:iCs/>
          <w:sz w:val="24"/>
          <w:szCs w:val="24"/>
          <w:lang w:val="en-US" w:eastAsia="ja-JP"/>
        </w:rPr>
        <w:t>83 Krishnapakar Tola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>
        <w:rPr>
          <w:rFonts w:asciiTheme="minorHAnsi" w:eastAsia="Tw Cen MT" w:hAnsiTheme="minorHAnsi" w:cstheme="minorHAnsi"/>
          <w:iCs/>
          <w:sz w:val="24"/>
          <w:szCs w:val="24"/>
          <w:lang w:val="en-US" w:eastAsia="ja-JP"/>
        </w:rPr>
        <w:t xml:space="preserve">Vill + PO: Mahisari District: Samastipur Pin code: </w:t>
      </w:r>
      <w:proofErr w:type="gramStart"/>
      <w:r>
        <w:rPr>
          <w:rFonts w:asciiTheme="minorHAnsi" w:eastAsia="Tw Cen MT" w:hAnsiTheme="minorHAnsi" w:cstheme="minorHAnsi"/>
          <w:iCs/>
          <w:sz w:val="24"/>
          <w:szCs w:val="24"/>
          <w:lang w:val="en-US" w:eastAsia="ja-JP"/>
        </w:rPr>
        <w:t>848114,Bihar</w:t>
      </w:r>
      <w:proofErr w:type="gramEnd"/>
      <w:r>
        <w:rPr>
          <w:rFonts w:asciiTheme="minorHAnsi" w:eastAsia="Tw Cen MT" w:hAnsiTheme="minorHAnsi" w:cstheme="minorHAnsi"/>
          <w:iCs/>
          <w:sz w:val="24"/>
          <w:szCs w:val="24"/>
          <w:lang w:val="en-US" w:eastAsia="ja-JP"/>
        </w:rPr>
        <w:t xml:space="preserve"> </w:t>
      </w:r>
      <w:r w:rsidRPr="006A0A9B">
        <w:rPr>
          <w:rFonts w:asciiTheme="minorHAnsi" w:eastAsia="Tw Cen MT" w:hAnsiTheme="minorHAnsi" w:cstheme="minorHAnsi"/>
          <w:iCs/>
          <w:sz w:val="24"/>
          <w:szCs w:val="24"/>
          <w:lang w:val="en-US" w:eastAsia="ja-JP"/>
        </w:rPr>
        <w:t>(India)</w:t>
      </w:r>
      <w:r w:rsidRPr="00B011DF">
        <w:rPr>
          <w:rFonts w:asciiTheme="minorHAnsi" w:eastAsia="Tw Cen MT" w:hAnsiTheme="minorHAnsi" w:cstheme="minorHAnsi"/>
          <w:iCs/>
          <w:sz w:val="24"/>
          <w:szCs w:val="24"/>
          <w:lang w:val="en-US" w:eastAsia="ja-JP"/>
        </w:rPr>
        <w:t xml:space="preserve"> </w:t>
      </w:r>
      <w:r w:rsidRPr="001D507F">
        <w:rPr>
          <w:rFonts w:asciiTheme="minorHAnsi" w:eastAsia="Tw Cen MT" w:hAnsiTheme="minorHAnsi" w:cstheme="minorHAnsi"/>
          <w:iCs/>
          <w:sz w:val="24"/>
          <w:szCs w:val="24"/>
          <w:u w:val="single"/>
          <w:lang w:val="en-US" w:eastAsia="ja-JP"/>
        </w:rPr>
        <w:t xml:space="preserve">Contact No: 9875380622, 9883310041  Email Id:- </w:t>
      </w:r>
      <w:hyperlink r:id="rId8" w:history="1">
        <w:r w:rsidRPr="001D507F">
          <w:rPr>
            <w:rStyle w:val="Hyperlink"/>
            <w:rFonts w:asciiTheme="minorHAnsi" w:eastAsia="Tw Cen MT" w:hAnsiTheme="minorHAnsi" w:cstheme="minorHAnsi"/>
            <w:iCs/>
            <w:sz w:val="24"/>
            <w:szCs w:val="24"/>
            <w:lang w:val="en-US" w:eastAsia="ja-JP"/>
          </w:rPr>
          <w:t>Kumararyaamit89@gmail.com</w:t>
        </w:r>
      </w:hyperlink>
    </w:p>
    <w:p w14:paraId="00EBCABC" w14:textId="77777777" w:rsidR="00452281" w:rsidRDefault="00452281" w:rsidP="00452281">
      <w:pPr>
        <w:pStyle w:val="NoSpacing"/>
        <w:ind w:left="60"/>
        <w:rPr>
          <w:rFonts w:asciiTheme="minorHAnsi" w:eastAsia="Tw Cen MT" w:hAnsiTheme="minorHAnsi" w:cstheme="minorHAnsi"/>
          <w:iCs/>
          <w:sz w:val="24"/>
          <w:szCs w:val="24"/>
          <w:lang w:val="en-US" w:eastAsia="ja-JP"/>
        </w:rPr>
      </w:pPr>
    </w:p>
    <w:p w14:paraId="5FB3CA0F" w14:textId="40EC3266" w:rsidR="001D507F" w:rsidRPr="001D507F" w:rsidRDefault="001D507F" w:rsidP="001D507F">
      <w:pPr>
        <w:spacing w:before="120" w:after="0" w:line="240" w:lineRule="auto"/>
        <w:jc w:val="both"/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07F"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CAREER OBJECTIVE </w:t>
      </w:r>
    </w:p>
    <w:p w14:paraId="3C9C14E9" w14:textId="4B5A3BC5" w:rsidR="00897FB7" w:rsidRPr="002F2428" w:rsidRDefault="001A2549" w:rsidP="001D507F">
      <w:pPr>
        <w:spacing w:before="120" w:after="0" w:line="240" w:lineRule="auto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F2428">
        <w:rPr>
          <w:sz w:val="24"/>
          <w:szCs w:val="24"/>
        </w:rPr>
        <w:t xml:space="preserve">To work in an inspiring, competitive and challenging environment </w:t>
      </w:r>
      <w:proofErr w:type="gramStart"/>
      <w:r w:rsidRPr="002F2428">
        <w:rPr>
          <w:sz w:val="24"/>
          <w:szCs w:val="24"/>
        </w:rPr>
        <w:t>so as to</w:t>
      </w:r>
      <w:proofErr w:type="gramEnd"/>
      <w:r w:rsidRPr="002F2428">
        <w:rPr>
          <w:sz w:val="24"/>
          <w:szCs w:val="24"/>
        </w:rPr>
        <w:t xml:space="preserve"> contribute the best of my constructive and creative abilities as well as my sincere efforts towards the prosperity of the organization and also to grow the as a person, procure proficient skilled training and hence emerge as an experienced, efficient and successful professional.</w:t>
      </w:r>
    </w:p>
    <w:p w14:paraId="4ADB0290" w14:textId="77777777" w:rsidR="00897FB7" w:rsidRPr="006A0A9B" w:rsidRDefault="00897FB7" w:rsidP="001D507F">
      <w:pPr>
        <w:pStyle w:val="Section"/>
        <w:spacing w:before="120" w:after="0"/>
        <w:rPr>
          <w:rFonts w:asciiTheme="minorHAnsi" w:hAnsiTheme="minorHAnsi" w:cstheme="minorHAnsi"/>
          <w:color w:val="auto"/>
          <w:szCs w:val="24"/>
          <w:u w:val="single"/>
        </w:rPr>
      </w:pPr>
      <w:r w:rsidRPr="006A0A9B">
        <w:rPr>
          <w:rFonts w:asciiTheme="minorHAnsi" w:hAnsiTheme="minorHAnsi" w:cstheme="minorHAnsi"/>
          <w:color w:val="auto"/>
          <w:szCs w:val="24"/>
          <w:u w:val="single"/>
        </w:rPr>
        <w:t>Education</w:t>
      </w:r>
    </w:p>
    <w:p w14:paraId="4EFE38EF" w14:textId="77777777" w:rsidR="00897FB7" w:rsidRPr="00EF25B1" w:rsidRDefault="00897FB7" w:rsidP="001D507F">
      <w:pPr>
        <w:pStyle w:val="Heading6"/>
        <w:spacing w:before="120" w:line="240" w:lineRule="auto"/>
        <w:jc w:val="both"/>
        <w:rPr>
          <w:rFonts w:asciiTheme="minorHAnsi" w:hAnsiTheme="minorHAnsi" w:cstheme="minorHAnsi"/>
          <w:iCs/>
          <w:color w:val="000000"/>
          <w:sz w:val="28"/>
          <w:szCs w:val="28"/>
          <w:u w:val="single"/>
        </w:rPr>
      </w:pPr>
      <w:r w:rsidRPr="00EF25B1">
        <w:rPr>
          <w:rFonts w:asciiTheme="minorHAnsi" w:hAnsiTheme="minorHAnsi" w:cstheme="minorHAnsi"/>
          <w:iCs/>
          <w:color w:val="000000"/>
          <w:sz w:val="28"/>
          <w:szCs w:val="28"/>
          <w:u w:val="single"/>
        </w:rPr>
        <w:t>Professional Qualification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2787"/>
        <w:gridCol w:w="1798"/>
        <w:gridCol w:w="2524"/>
        <w:gridCol w:w="2062"/>
      </w:tblGrid>
      <w:tr w:rsidR="00E02CD6" w:rsidRPr="006A0A9B" w14:paraId="2F205027" w14:textId="77777777" w:rsidTr="002F2106">
        <w:trPr>
          <w:trHeight w:val="328"/>
        </w:trPr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09DB14E0" w14:textId="77777777" w:rsidR="00E02CD6" w:rsidRPr="006A0A9B" w:rsidRDefault="00E02CD6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6A0A9B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Examination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34BC8601" w14:textId="753CAFC1" w:rsidR="00E02CD6" w:rsidRPr="006A0A9B" w:rsidRDefault="00E02CD6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6A0A9B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Year</w:t>
            </w:r>
            <w:r w:rsidR="000E5633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/Session</w:t>
            </w:r>
          </w:p>
        </w:tc>
        <w:tc>
          <w:tcPr>
            <w:tcW w:w="1376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3F6DA9C8" w14:textId="77777777" w:rsidR="00E02CD6" w:rsidRPr="006A0A9B" w:rsidRDefault="00E02CD6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6A0A9B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Institution</w:t>
            </w:r>
          </w:p>
        </w:tc>
        <w:tc>
          <w:tcPr>
            <w:tcW w:w="1124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6D173A31" w14:textId="7C4128D9" w:rsidR="00E02CD6" w:rsidRPr="006A0A9B" w:rsidRDefault="00376369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%</w:t>
            </w:r>
            <w:r w:rsidR="00EF25B1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 xml:space="preserve"> </w:t>
            </w:r>
            <w:r w:rsidR="00E02CD6" w:rsidRPr="006A0A9B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Marks</w:t>
            </w:r>
            <w:r w:rsidR="000E5633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/Division</w:t>
            </w:r>
          </w:p>
        </w:tc>
      </w:tr>
      <w:tr w:rsidR="001A2549" w:rsidRPr="006A0A9B" w14:paraId="17C056C8" w14:textId="77777777" w:rsidTr="002F2106">
        <w:trPr>
          <w:trHeight w:val="349"/>
        </w:trPr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6198693" w14:textId="73E5C162" w:rsidR="001A2549" w:rsidRDefault="001A2549" w:rsidP="001A254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CMA FINAL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C4C7158" w14:textId="52308024" w:rsidR="001A2549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Dec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>.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 xml:space="preserve"> 2020</w:t>
            </w:r>
          </w:p>
        </w:tc>
        <w:tc>
          <w:tcPr>
            <w:tcW w:w="137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BA522CC" w14:textId="2EB3E58C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ICAI</w:t>
            </w:r>
          </w:p>
        </w:tc>
        <w:tc>
          <w:tcPr>
            <w:tcW w:w="1124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4C042" w14:textId="4679F058" w:rsidR="001A2549" w:rsidRDefault="001A2549" w:rsidP="001A2549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69.88%</w:t>
            </w:r>
          </w:p>
        </w:tc>
      </w:tr>
      <w:tr w:rsidR="001A2549" w:rsidRPr="006A0A9B" w14:paraId="155657F3" w14:textId="77777777" w:rsidTr="002F2106">
        <w:trPr>
          <w:trHeight w:val="349"/>
        </w:trPr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5AFC6CE" w14:textId="3281D48E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CMA INTER GROUP 1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36A901F" w14:textId="6CA09AD2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Jun.</w:t>
            </w:r>
            <w:r w:rsidRPr="006A0A9B">
              <w:rPr>
                <w:rFonts w:asciiTheme="minorHAnsi" w:hAnsiTheme="minorHAnsi" w:cstheme="minorHAnsi"/>
                <w:color w:val="000000"/>
                <w:szCs w:val="24"/>
              </w:rPr>
              <w:t>201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>8</w:t>
            </w:r>
          </w:p>
        </w:tc>
        <w:tc>
          <w:tcPr>
            <w:tcW w:w="137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27D372" w14:textId="77777777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6A0A9B">
              <w:rPr>
                <w:rFonts w:asciiTheme="minorHAnsi" w:hAnsiTheme="minorHAnsi" w:cstheme="minorHAnsi"/>
                <w:color w:val="000000"/>
                <w:szCs w:val="24"/>
              </w:rPr>
              <w:t>ICAI</w:t>
            </w:r>
          </w:p>
        </w:tc>
        <w:tc>
          <w:tcPr>
            <w:tcW w:w="1124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4E7A29F" w14:textId="76FDBEE9" w:rsidR="001A2549" w:rsidRPr="006A0A9B" w:rsidRDefault="001A2549" w:rsidP="001A2549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55.50</w:t>
            </w:r>
            <w:r w:rsidRPr="006A0A9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%</w:t>
            </w:r>
          </w:p>
        </w:tc>
      </w:tr>
      <w:tr w:rsidR="001A2549" w:rsidRPr="006A0A9B" w14:paraId="10AA5E15" w14:textId="77777777" w:rsidTr="002F2106">
        <w:trPr>
          <w:trHeight w:val="349"/>
        </w:trPr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C78C2DF" w14:textId="42B2AB96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CMA INTER GROUP 2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FD8A454" w14:textId="1F52757E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Dec.</w:t>
            </w:r>
            <w:r w:rsidRPr="006A0A9B">
              <w:rPr>
                <w:rFonts w:asciiTheme="minorHAnsi" w:hAnsiTheme="minorHAnsi" w:cstheme="minorHAnsi"/>
                <w:color w:val="000000"/>
                <w:szCs w:val="24"/>
              </w:rPr>
              <w:t xml:space="preserve"> 201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>8</w:t>
            </w:r>
          </w:p>
        </w:tc>
        <w:tc>
          <w:tcPr>
            <w:tcW w:w="137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524F0A7" w14:textId="77777777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6A0A9B">
              <w:rPr>
                <w:rFonts w:asciiTheme="minorHAnsi" w:hAnsiTheme="minorHAnsi" w:cstheme="minorHAnsi"/>
                <w:color w:val="000000"/>
                <w:szCs w:val="24"/>
              </w:rPr>
              <w:t>ICAI</w:t>
            </w:r>
          </w:p>
        </w:tc>
        <w:tc>
          <w:tcPr>
            <w:tcW w:w="1124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530EABF" w14:textId="341832DB" w:rsidR="001A2549" w:rsidRPr="006A0A9B" w:rsidRDefault="001A2549" w:rsidP="001A2549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A0A9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</w:t>
            </w:r>
            <w:r w:rsidRPr="006A0A9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.25%</w:t>
            </w:r>
          </w:p>
        </w:tc>
      </w:tr>
      <w:tr w:rsidR="001A2549" w:rsidRPr="006A0A9B" w14:paraId="78508465" w14:textId="77777777" w:rsidTr="002F2106">
        <w:trPr>
          <w:trHeight w:val="349"/>
        </w:trPr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12A6806" w14:textId="36BCF820" w:rsidR="001A2549" w:rsidRDefault="001A2549" w:rsidP="001A254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CS Executive (Model 1)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2E58552" w14:textId="3AC7C34A" w:rsidR="001A2549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Dec. 2016</w:t>
            </w:r>
          </w:p>
        </w:tc>
        <w:tc>
          <w:tcPr>
            <w:tcW w:w="137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387E26" w14:textId="7795213E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ICSI</w:t>
            </w:r>
          </w:p>
        </w:tc>
        <w:tc>
          <w:tcPr>
            <w:tcW w:w="1124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44C25BD" w14:textId="28D3C13D" w:rsidR="001A2549" w:rsidRDefault="001A2549" w:rsidP="001A2549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50.75%</w:t>
            </w:r>
          </w:p>
        </w:tc>
      </w:tr>
      <w:tr w:rsidR="001A2549" w:rsidRPr="006A0A9B" w14:paraId="2A5EE5ED" w14:textId="77777777" w:rsidTr="002F2106">
        <w:trPr>
          <w:trHeight w:val="349"/>
        </w:trPr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B50A560" w14:textId="5EE121BB" w:rsidR="001A2549" w:rsidRDefault="001A2549" w:rsidP="001A254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CA Inter (Group 1)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FE526F8" w14:textId="6753BF13" w:rsidR="001A2549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Nov. 2017</w:t>
            </w:r>
          </w:p>
        </w:tc>
        <w:tc>
          <w:tcPr>
            <w:tcW w:w="137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514E2CB" w14:textId="2E4CC62D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ICAI</w:t>
            </w:r>
          </w:p>
        </w:tc>
        <w:tc>
          <w:tcPr>
            <w:tcW w:w="1124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D4D5266" w14:textId="44BA4EC5" w:rsidR="001A2549" w:rsidRDefault="001A2549" w:rsidP="001A2549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50.00%</w:t>
            </w:r>
          </w:p>
        </w:tc>
      </w:tr>
      <w:tr w:rsidR="001A2549" w:rsidRPr="006A0A9B" w14:paraId="75B6F717" w14:textId="77777777" w:rsidTr="002F2106">
        <w:trPr>
          <w:trHeight w:val="349"/>
        </w:trPr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2E8040C" w14:textId="56A44123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MBA (Finance)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9F037F2" w14:textId="7AFEC639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</w:rPr>
              <w:t>2017-2019</w:t>
            </w:r>
          </w:p>
        </w:tc>
        <w:tc>
          <w:tcPr>
            <w:tcW w:w="137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F14DC" w14:textId="77F79A42" w:rsidR="001A2549" w:rsidRPr="006A0A9B" w:rsidRDefault="001A2549" w:rsidP="001A254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6A0A9B">
              <w:rPr>
                <w:rFonts w:asciiTheme="minorHAnsi" w:hAnsiTheme="minorHAnsi" w:cstheme="minorHAnsi"/>
                <w:color w:val="000000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000000"/>
                <w:szCs w:val="24"/>
              </w:rPr>
              <w:t>SBM UNIVERSITY</w:t>
            </w:r>
          </w:p>
        </w:tc>
        <w:tc>
          <w:tcPr>
            <w:tcW w:w="1124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4EFFC83" w14:textId="341E38A9" w:rsidR="001A2549" w:rsidRPr="006A0A9B" w:rsidRDefault="001A2549" w:rsidP="001A2549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62</w:t>
            </w:r>
            <w:r w:rsidRPr="006A0A9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65</w:t>
            </w:r>
            <w:r w:rsidRPr="006A0A9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%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/1</w:t>
            </w:r>
            <w:r w:rsidRPr="000E5633">
              <w:rPr>
                <w:rFonts w:asciiTheme="minorHAnsi" w:hAnsiTheme="minorHAnsi" w:cstheme="minorHAnsi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Div.</w:t>
            </w:r>
          </w:p>
        </w:tc>
      </w:tr>
    </w:tbl>
    <w:p w14:paraId="073234D4" w14:textId="77777777" w:rsidR="00897FB7" w:rsidRPr="006A0A9B" w:rsidRDefault="00897FB7" w:rsidP="00897FB7">
      <w:pPr>
        <w:pStyle w:val="Heading6"/>
        <w:jc w:val="both"/>
        <w:rPr>
          <w:rFonts w:asciiTheme="minorHAnsi" w:hAnsiTheme="minorHAnsi" w:cstheme="minorHAnsi"/>
          <w:iCs/>
          <w:color w:val="000000"/>
          <w:sz w:val="24"/>
          <w:szCs w:val="24"/>
          <w:u w:val="single"/>
        </w:rPr>
      </w:pPr>
    </w:p>
    <w:p w14:paraId="2C216C14" w14:textId="77777777" w:rsidR="00897FB7" w:rsidRPr="00EF25B1" w:rsidRDefault="00897FB7" w:rsidP="00897FB7">
      <w:pPr>
        <w:pStyle w:val="Heading6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EF25B1">
        <w:rPr>
          <w:rFonts w:asciiTheme="minorHAnsi" w:hAnsiTheme="minorHAnsi" w:cstheme="minorHAnsi"/>
          <w:iCs/>
          <w:color w:val="000000"/>
          <w:sz w:val="28"/>
          <w:szCs w:val="28"/>
          <w:u w:val="single"/>
        </w:rPr>
        <w:t>Academic Qualification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2787"/>
        <w:gridCol w:w="1798"/>
        <w:gridCol w:w="2526"/>
        <w:gridCol w:w="2060"/>
      </w:tblGrid>
      <w:tr w:rsidR="00897FB7" w:rsidRPr="006A0A9B" w14:paraId="66E57A31" w14:textId="77777777" w:rsidTr="001014D0"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193C048C" w14:textId="77777777" w:rsidR="00897FB7" w:rsidRPr="006A0A9B" w:rsidRDefault="00897FB7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6A0A9B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Examination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2E873B10" w14:textId="77777777" w:rsidR="00897FB7" w:rsidRPr="006A0A9B" w:rsidRDefault="00897FB7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6A0A9B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Year of passing</w:t>
            </w:r>
          </w:p>
        </w:tc>
        <w:tc>
          <w:tcPr>
            <w:tcW w:w="1377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14:paraId="14F1A43D" w14:textId="77777777" w:rsidR="00897FB7" w:rsidRPr="006A0A9B" w:rsidRDefault="00897FB7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6A0A9B">
              <w:rPr>
                <w:rFonts w:asciiTheme="minorHAnsi" w:hAnsiTheme="minorHAnsi" w:cstheme="minorHAnsi"/>
                <w:b/>
                <w:color w:val="000000"/>
                <w:szCs w:val="24"/>
              </w:rPr>
              <w:t>Institution</w:t>
            </w:r>
          </w:p>
        </w:tc>
        <w:tc>
          <w:tcPr>
            <w:tcW w:w="1123" w:type="pct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vAlign w:val="center"/>
          </w:tcPr>
          <w:p w14:paraId="15368052" w14:textId="77777777" w:rsidR="00897FB7" w:rsidRPr="006A0A9B" w:rsidRDefault="00897FB7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color w:val="000000"/>
                <w:szCs w:val="24"/>
              </w:rPr>
            </w:pPr>
            <w:r w:rsidRPr="006A0A9B">
              <w:rPr>
                <w:rFonts w:asciiTheme="minorHAnsi" w:hAnsiTheme="minorHAnsi" w:cstheme="minorHAnsi"/>
                <w:b/>
                <w:color w:val="000000"/>
                <w:szCs w:val="24"/>
              </w:rPr>
              <w:t>% Marks</w:t>
            </w:r>
          </w:p>
        </w:tc>
      </w:tr>
      <w:tr w:rsidR="001014D0" w:rsidRPr="006A0A9B" w14:paraId="6CA45E5C" w14:textId="77777777" w:rsidTr="001014D0"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A5F1C77" w14:textId="565E029B" w:rsidR="001014D0" w:rsidRPr="006A0A9B" w:rsidRDefault="001014D0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B.COM</w:t>
            </w:r>
            <w:r w:rsidR="001A2549"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 xml:space="preserve"> (H)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DD3F106" w14:textId="0AB34A93" w:rsidR="001014D0" w:rsidRPr="006A0A9B" w:rsidRDefault="001014D0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2014</w:t>
            </w:r>
          </w:p>
        </w:tc>
        <w:tc>
          <w:tcPr>
            <w:tcW w:w="137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6D24D52" w14:textId="742A349F" w:rsidR="001014D0" w:rsidRDefault="001014D0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LNMU</w:t>
            </w:r>
          </w:p>
        </w:tc>
        <w:tc>
          <w:tcPr>
            <w:tcW w:w="1123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ED09F9" w14:textId="34F454FD" w:rsidR="001014D0" w:rsidRDefault="001014D0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70.00%</w:t>
            </w:r>
          </w:p>
        </w:tc>
      </w:tr>
      <w:tr w:rsidR="00897FB7" w:rsidRPr="006A0A9B" w14:paraId="77A625CA" w14:textId="77777777" w:rsidTr="001014D0"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C8D90AE" w14:textId="33F5D8AD" w:rsidR="00897FB7" w:rsidRPr="006A0A9B" w:rsidRDefault="001A2549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 xml:space="preserve">Higher Secondary 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DF425C0" w14:textId="7B4DC979" w:rsidR="00897FB7" w:rsidRPr="006A0A9B" w:rsidRDefault="00897FB7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 w:rsidRPr="006A0A9B"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20</w:t>
            </w:r>
            <w:r w:rsidR="0030529A" w:rsidRPr="006A0A9B"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1</w:t>
            </w:r>
            <w:r w:rsidR="000E5633"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0</w:t>
            </w:r>
          </w:p>
        </w:tc>
        <w:tc>
          <w:tcPr>
            <w:tcW w:w="137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A58F59E" w14:textId="7D08BD74" w:rsidR="00897FB7" w:rsidRPr="006A0A9B" w:rsidRDefault="001014D0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BSEB</w:t>
            </w:r>
          </w:p>
        </w:tc>
        <w:tc>
          <w:tcPr>
            <w:tcW w:w="1123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1D37116" w14:textId="59675666" w:rsidR="00897FB7" w:rsidRPr="006A0A9B" w:rsidRDefault="001014D0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67.40</w:t>
            </w:r>
            <w:r w:rsidR="00897FB7" w:rsidRPr="006A0A9B"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%</w:t>
            </w:r>
          </w:p>
        </w:tc>
      </w:tr>
      <w:tr w:rsidR="00CE6B45" w:rsidRPr="006A0A9B" w14:paraId="1BD1F67A" w14:textId="77777777" w:rsidTr="001014D0">
        <w:tc>
          <w:tcPr>
            <w:tcW w:w="151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3C04BD8E" w14:textId="7986328C" w:rsidR="00CE6B45" w:rsidRPr="006A0A9B" w:rsidRDefault="001A2549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 xml:space="preserve">Secondary </w:t>
            </w:r>
          </w:p>
        </w:tc>
        <w:tc>
          <w:tcPr>
            <w:tcW w:w="98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CE8BE24" w14:textId="5BF2FF39" w:rsidR="00CE6B45" w:rsidRPr="006A0A9B" w:rsidRDefault="0030529A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 w:rsidRPr="006A0A9B"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20</w:t>
            </w:r>
            <w:r w:rsidR="000E5633"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08</w:t>
            </w:r>
          </w:p>
        </w:tc>
        <w:tc>
          <w:tcPr>
            <w:tcW w:w="137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D31E7B" w14:textId="05424FD3" w:rsidR="00CE6B45" w:rsidRPr="006A0A9B" w:rsidRDefault="000E5633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BSEB</w:t>
            </w:r>
          </w:p>
        </w:tc>
        <w:tc>
          <w:tcPr>
            <w:tcW w:w="1123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451F63" w14:textId="37BAC86B" w:rsidR="00CE6B45" w:rsidRPr="006A0A9B" w:rsidRDefault="000E5633" w:rsidP="00A16889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52.80</w:t>
            </w:r>
            <w:r w:rsidR="00CE6B45" w:rsidRPr="006A0A9B">
              <w:rPr>
                <w:rFonts w:asciiTheme="minorHAnsi" w:eastAsia="Times New Roman" w:hAnsiTheme="minorHAnsi" w:cstheme="minorHAnsi"/>
                <w:bCs/>
                <w:color w:val="000000"/>
                <w:szCs w:val="24"/>
              </w:rPr>
              <w:t>%</w:t>
            </w:r>
          </w:p>
        </w:tc>
      </w:tr>
    </w:tbl>
    <w:p w14:paraId="60E9742B" w14:textId="77777777" w:rsidR="00BB4406" w:rsidRPr="006A0A9B" w:rsidRDefault="00BB4406" w:rsidP="005130E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</w:pPr>
    </w:p>
    <w:p w14:paraId="013D751C" w14:textId="2DC256C4" w:rsidR="006D0775" w:rsidRPr="006D0775" w:rsidRDefault="006D0775" w:rsidP="00BF5BB6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EF25B1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Work Experience </w:t>
      </w:r>
    </w:p>
    <w:p w14:paraId="4110A42B" w14:textId="1CFD50BC" w:rsidR="001D507F" w:rsidRPr="00452281" w:rsidRDefault="001D507F" w:rsidP="00BF5BB6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</w:pPr>
      <w:r w:rsidRPr="0045228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  <w:t>Trainee</w:t>
      </w:r>
    </w:p>
    <w:p w14:paraId="1B9C489E" w14:textId="77777777" w:rsidR="00452281" w:rsidRDefault="001014D0" w:rsidP="00BF5BB6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  <w:t>Abhijit Kumar Chakraborty</w:t>
      </w:r>
      <w:r w:rsidR="00AF04B8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  <w:t xml:space="preserve">(FCMA) </w:t>
      </w:r>
    </w:p>
    <w:p w14:paraId="7EA2B400" w14:textId="01AB7A76" w:rsidR="00BF5BB6" w:rsidRPr="006A0A9B" w:rsidRDefault="001014D0" w:rsidP="00BF5BB6">
      <w:p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  <w:t>01.10.2019 to 31.03.2020</w:t>
      </w:r>
      <w:r w:rsidR="00BF5BB6" w:rsidRPr="006A0A9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  <w:t xml:space="preserve">                               </w:t>
      </w:r>
    </w:p>
    <w:p w14:paraId="326313D1" w14:textId="7FD07A3C" w:rsidR="00BF5BB6" w:rsidRPr="006A0A9B" w:rsidRDefault="00452281" w:rsidP="00BF5BB6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5" w:lineRule="exac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Part of Audit Team for </w:t>
      </w:r>
      <w:r w:rsidR="00BF5BB6" w:rsidRPr="00CF3076">
        <w:rPr>
          <w:rFonts w:asciiTheme="minorHAnsi" w:hAnsiTheme="minorHAnsi" w:cstheme="minorHAnsi"/>
          <w:b/>
          <w:color w:val="000000"/>
          <w:sz w:val="24"/>
          <w:szCs w:val="24"/>
        </w:rPr>
        <w:t>Audit</w:t>
      </w:r>
      <w:r w:rsidR="001014D0" w:rsidRPr="00CF307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of COAL INDIA</w:t>
      </w:r>
      <w:r w:rsidR="001014D0" w:rsidRPr="001014D0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</w:p>
    <w:p w14:paraId="7A0DF7D9" w14:textId="765C3FA8" w:rsidR="00A513BE" w:rsidRDefault="00BF5BB6" w:rsidP="00CF3076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10" w:after="0" w:line="270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6A0A9B">
        <w:rPr>
          <w:rFonts w:asciiTheme="minorHAnsi" w:hAnsiTheme="minorHAnsi" w:cstheme="minorHAnsi"/>
          <w:b/>
          <w:color w:val="000000"/>
          <w:sz w:val="24"/>
          <w:szCs w:val="24"/>
        </w:rPr>
        <w:t>GST</w:t>
      </w:r>
      <w:r w:rsidRPr="006A0A9B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</w:t>
      </w:r>
      <w:r w:rsidRPr="006A0A9B">
        <w:rPr>
          <w:rFonts w:asciiTheme="minorHAnsi" w:hAnsiTheme="minorHAnsi" w:cstheme="minorHAnsi"/>
          <w:color w:val="000000"/>
          <w:sz w:val="24"/>
          <w:szCs w:val="24"/>
        </w:rPr>
        <w:t>registration and</w:t>
      </w:r>
      <w:r w:rsidRPr="006A0A9B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r w:rsidRPr="006A0A9B">
        <w:rPr>
          <w:rFonts w:asciiTheme="minorHAnsi" w:hAnsiTheme="minorHAnsi" w:cstheme="minorHAnsi"/>
          <w:color w:val="000000"/>
          <w:sz w:val="24"/>
          <w:szCs w:val="24"/>
        </w:rPr>
        <w:t>returns</w:t>
      </w:r>
      <w:r w:rsidR="0045228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52281" w:rsidRPr="006A0A9B">
        <w:rPr>
          <w:rFonts w:asciiTheme="minorHAnsi" w:hAnsiTheme="minorHAnsi" w:cstheme="minorHAnsi"/>
          <w:color w:val="000000"/>
          <w:sz w:val="24"/>
          <w:szCs w:val="24"/>
        </w:rPr>
        <w:t>filing</w:t>
      </w:r>
      <w:r w:rsidR="00452281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CBFC57A" w14:textId="77777777" w:rsidR="005B410B" w:rsidRDefault="005B410B" w:rsidP="006A0A9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u w:val="single"/>
          <w:lang w:eastAsia="en-IN"/>
        </w:rPr>
      </w:pPr>
    </w:p>
    <w:p w14:paraId="2D944053" w14:textId="2A85AAFB" w:rsidR="006A0A9B" w:rsidRPr="006D0775" w:rsidRDefault="006A0A9B" w:rsidP="006D0775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</w:pPr>
      <w:r w:rsidRPr="006A0A9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Computer </w:t>
      </w:r>
      <w:r w:rsidR="006D077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&amp; Other </w:t>
      </w:r>
      <w:r w:rsidRPr="006A0A9B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u w:val="single"/>
          <w:lang w:eastAsia="en-IN"/>
        </w:rPr>
        <w:t>Proficiency</w:t>
      </w:r>
    </w:p>
    <w:p w14:paraId="2D832D9D" w14:textId="18A585DD" w:rsidR="006A0A9B" w:rsidRPr="00452281" w:rsidRDefault="00452281" w:rsidP="006D077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Undergone Training of </w:t>
      </w:r>
      <w:r w:rsidRPr="0045228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  <w:t>SAP</w:t>
      </w:r>
      <w:r w:rsidR="006F0F3C" w:rsidRPr="0045228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  <w:t>-</w:t>
      </w:r>
      <w:r w:rsidRPr="0045228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eastAsia="en-IN"/>
        </w:rPr>
        <w:t>FICO</w:t>
      </w:r>
      <w:r w:rsidR="006F0F3C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provided by </w:t>
      </w:r>
      <w:r w:rsidR="006F0F3C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ICAI</w:t>
      </w:r>
    </w:p>
    <w:p w14:paraId="1C79BDFF" w14:textId="35B5F815" w:rsidR="006A0A9B" w:rsidRDefault="006A0A9B" w:rsidP="006D077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 w:rsidRPr="006A0A9B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100 hour</w:t>
      </w:r>
      <w:r w:rsidR="00A513BE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s</w:t>
      </w:r>
      <w:r w:rsidRPr="006A0A9B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computer training </w:t>
      </w:r>
      <w:r w:rsidR="00452281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provided by</w:t>
      </w:r>
      <w:r w:rsidRPr="006A0A9B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ICAI</w:t>
      </w:r>
    </w:p>
    <w:p w14:paraId="057AB0F0" w14:textId="185FE4F0" w:rsidR="00A513BE" w:rsidRDefault="00E70655" w:rsidP="006D077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90</w:t>
      </w:r>
      <w:r w:rsidR="00A513BE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hours Orientation </w:t>
      </w:r>
      <w:r w:rsidR="001A2549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Program</w:t>
      </w:r>
      <w:r w:rsidR="00A513BE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</w:t>
      </w:r>
      <w:r w:rsidR="00452281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provided by</w:t>
      </w:r>
      <w:r w:rsidR="00A513BE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ICAI</w:t>
      </w:r>
    </w:p>
    <w:p w14:paraId="7FC4C99E" w14:textId="77777777" w:rsidR="006D0775" w:rsidRDefault="006F0F3C" w:rsidP="006D077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 w:rsidRPr="006A0A9B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Working knowledge of MS-Office</w:t>
      </w:r>
      <w:r w:rsidR="001A2549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(M</w:t>
      </w:r>
      <w:r w:rsidR="001A2549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S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 xml:space="preserve"> Excel &amp; MS word) </w:t>
      </w:r>
    </w:p>
    <w:p w14:paraId="66CA1820" w14:textId="3B77A2B7" w:rsidR="00A513BE" w:rsidRDefault="006F0F3C" w:rsidP="006D077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</w:pPr>
      <w:r w:rsidRPr="006A0A9B">
        <w:rPr>
          <w:rFonts w:asciiTheme="minorHAnsi" w:eastAsia="Times New Roman" w:hAnsiTheme="minorHAnsi" w:cstheme="minorHAnsi"/>
          <w:color w:val="000000"/>
          <w:sz w:val="24"/>
          <w:szCs w:val="24"/>
          <w:lang w:eastAsia="en-IN"/>
        </w:rPr>
        <w:t>Tally</w:t>
      </w:r>
    </w:p>
    <w:p w14:paraId="5C3A80A3" w14:textId="77AA2B1B" w:rsidR="006D0775" w:rsidRDefault="006D0775" w:rsidP="006D0775">
      <w:pPr>
        <w:pStyle w:val="NoSpacing"/>
        <w:rPr>
          <w:rFonts w:asciiTheme="minorHAnsi" w:eastAsia="Tw Cen MT" w:hAnsiTheme="minorHAnsi" w:cstheme="minorHAnsi"/>
          <w:b/>
          <w:iCs/>
          <w:sz w:val="24"/>
          <w:szCs w:val="24"/>
          <w:u w:val="single"/>
          <w:lang w:val="en-US" w:eastAsia="ja-JP"/>
        </w:rPr>
      </w:pPr>
    </w:p>
    <w:p w14:paraId="5644A8D6" w14:textId="230E07AA" w:rsidR="006D0775" w:rsidRDefault="006D0775" w:rsidP="006D0775">
      <w:pPr>
        <w:pStyle w:val="NoSpacing"/>
        <w:rPr>
          <w:rFonts w:asciiTheme="minorHAnsi" w:eastAsia="Tw Cen MT" w:hAnsiTheme="minorHAnsi" w:cstheme="minorHAnsi"/>
          <w:b/>
          <w:iCs/>
          <w:sz w:val="24"/>
          <w:szCs w:val="24"/>
          <w:u w:val="single"/>
          <w:lang w:val="en-US" w:eastAsia="ja-JP"/>
        </w:rPr>
      </w:pPr>
    </w:p>
    <w:p w14:paraId="6C48CA24" w14:textId="77777777" w:rsidR="006D0775" w:rsidRDefault="006D0775" w:rsidP="006D0775">
      <w:pPr>
        <w:pStyle w:val="NoSpacing"/>
        <w:rPr>
          <w:rFonts w:asciiTheme="minorHAnsi" w:eastAsia="Tw Cen MT" w:hAnsiTheme="minorHAnsi" w:cstheme="minorHAnsi"/>
          <w:b/>
          <w:iCs/>
          <w:sz w:val="24"/>
          <w:szCs w:val="24"/>
          <w:u w:val="single"/>
          <w:lang w:val="en-US" w:eastAsia="ja-JP"/>
        </w:rPr>
      </w:pPr>
    </w:p>
    <w:p w14:paraId="2E56C795" w14:textId="0B6C8A55" w:rsidR="00452281" w:rsidRPr="006D0775" w:rsidRDefault="006D0775" w:rsidP="006D0775">
      <w:pPr>
        <w:pStyle w:val="NoSpacing"/>
        <w:rPr>
          <w:rFonts w:asciiTheme="minorHAnsi" w:eastAsia="Tw Cen MT" w:hAnsiTheme="minorHAnsi" w:cstheme="minorHAnsi"/>
          <w:b/>
          <w:iCs/>
          <w:sz w:val="24"/>
          <w:szCs w:val="24"/>
          <w:u w:val="single"/>
          <w:lang w:val="en-US" w:eastAsia="ja-JP"/>
        </w:rPr>
      </w:pPr>
      <w:r w:rsidRPr="006D0775">
        <w:rPr>
          <w:rFonts w:asciiTheme="minorHAnsi" w:eastAsia="Tw Cen MT" w:hAnsiTheme="minorHAnsi" w:cstheme="minorHAnsi"/>
          <w:b/>
          <w:iCs/>
          <w:sz w:val="24"/>
          <w:szCs w:val="24"/>
          <w:u w:val="single"/>
          <w:lang w:val="en-US" w:eastAsia="ja-JP"/>
        </w:rPr>
        <w:lastRenderedPageBreak/>
        <w:t xml:space="preserve">Hobbies </w:t>
      </w:r>
      <w:r>
        <w:rPr>
          <w:rFonts w:asciiTheme="minorHAnsi" w:eastAsia="Tw Cen MT" w:hAnsiTheme="minorHAnsi" w:cstheme="minorHAnsi"/>
          <w:b/>
          <w:iCs/>
          <w:sz w:val="24"/>
          <w:szCs w:val="24"/>
          <w:u w:val="single"/>
          <w:lang w:val="en-US" w:eastAsia="ja-JP"/>
        </w:rPr>
        <w:t>&amp;</w:t>
      </w:r>
      <w:r w:rsidRPr="006D0775">
        <w:rPr>
          <w:rFonts w:asciiTheme="minorHAnsi" w:eastAsia="Tw Cen MT" w:hAnsiTheme="minorHAnsi" w:cstheme="minorHAnsi"/>
          <w:b/>
          <w:iCs/>
          <w:sz w:val="24"/>
          <w:szCs w:val="24"/>
          <w:u w:val="single"/>
          <w:lang w:val="en-US" w:eastAsia="ja-JP"/>
        </w:rPr>
        <w:t xml:space="preserve"> Favorites</w:t>
      </w:r>
    </w:p>
    <w:p w14:paraId="4439772A" w14:textId="661C57E4" w:rsidR="006A0A9B" w:rsidRDefault="00452281" w:rsidP="006D0775">
      <w:pPr>
        <w:spacing w:after="120" w:line="240" w:lineRule="auto"/>
        <w:jc w:val="both"/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</w:pPr>
      <w:r w:rsidRPr="006A0A9B"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 xml:space="preserve">Listening Music, </w:t>
      </w:r>
      <w:proofErr w:type="gramStart"/>
      <w:r w:rsidR="006D0775"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>R</w:t>
      </w:r>
      <w:r w:rsidRPr="006A0A9B"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>eading</w:t>
      </w:r>
      <w:proofErr w:type="gramEnd"/>
      <w:r w:rsidRPr="006A0A9B"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 xml:space="preserve"> newspaper, Watching Movies,</w:t>
      </w:r>
      <w:r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 xml:space="preserve"> playing Cricket </w:t>
      </w:r>
    </w:p>
    <w:p w14:paraId="77421770" w14:textId="51540362" w:rsidR="00452281" w:rsidRDefault="006D0775" w:rsidP="00452281">
      <w:pPr>
        <w:pStyle w:val="NoSpacing"/>
        <w:rPr>
          <w:rFonts w:asciiTheme="minorHAnsi" w:eastAsia="Tw Cen MT" w:hAnsiTheme="minorHAnsi" w:cstheme="minorHAnsi"/>
          <w:b/>
          <w:iCs/>
          <w:sz w:val="24"/>
          <w:szCs w:val="24"/>
          <w:u w:val="single"/>
          <w:lang w:val="en-US" w:eastAsia="ja-JP"/>
        </w:rPr>
      </w:pPr>
      <w:r w:rsidRPr="00452281">
        <w:rPr>
          <w:rFonts w:asciiTheme="minorHAnsi" w:eastAsia="Tw Cen MT" w:hAnsiTheme="minorHAnsi" w:cstheme="minorHAnsi"/>
          <w:b/>
          <w:iCs/>
          <w:sz w:val="24"/>
          <w:szCs w:val="24"/>
          <w:u w:val="single"/>
          <w:lang w:val="en-US" w:eastAsia="ja-JP"/>
        </w:rPr>
        <w:t>Language Known</w:t>
      </w:r>
    </w:p>
    <w:p w14:paraId="4D9C6273" w14:textId="77777777" w:rsidR="006D0775" w:rsidRDefault="00452281" w:rsidP="006D0775">
      <w:pPr>
        <w:spacing w:after="0" w:line="240" w:lineRule="auto"/>
        <w:jc w:val="both"/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</w:pPr>
      <w:r w:rsidRPr="006A0A9B"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>English</w:t>
      </w:r>
    </w:p>
    <w:p w14:paraId="6E5BB1AE" w14:textId="66EFC18C" w:rsidR="006D0775" w:rsidRDefault="00452281" w:rsidP="006D0775">
      <w:pPr>
        <w:spacing w:after="0" w:line="240" w:lineRule="auto"/>
        <w:jc w:val="both"/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</w:pPr>
      <w:r w:rsidRPr="006A0A9B"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>Hindi</w:t>
      </w:r>
    </w:p>
    <w:p w14:paraId="29E00A4C" w14:textId="6C440DEC" w:rsidR="006D0775" w:rsidRDefault="00452281" w:rsidP="006D0775">
      <w:pPr>
        <w:spacing w:after="0" w:line="240" w:lineRule="auto"/>
        <w:jc w:val="both"/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</w:pPr>
      <w:r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>Bhojpuri</w:t>
      </w:r>
    </w:p>
    <w:p w14:paraId="46925AFF" w14:textId="77777777" w:rsidR="006D0775" w:rsidRDefault="00452281" w:rsidP="006D0775">
      <w:pPr>
        <w:spacing w:after="0" w:line="240" w:lineRule="auto"/>
        <w:jc w:val="both"/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</w:pPr>
      <w:r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 xml:space="preserve">Maithili </w:t>
      </w:r>
    </w:p>
    <w:p w14:paraId="6B9D6C02" w14:textId="2E4C5E23" w:rsidR="006A0A9B" w:rsidRPr="006A0A9B" w:rsidRDefault="00452281" w:rsidP="006D077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w Cen MT" w:hAnsiTheme="minorHAnsi" w:cstheme="minorHAnsi"/>
          <w:bCs/>
          <w:iCs/>
          <w:sz w:val="24"/>
          <w:szCs w:val="24"/>
          <w:lang w:eastAsia="ja-JP"/>
        </w:rPr>
        <w:t>Bengali</w:t>
      </w:r>
    </w:p>
    <w:p w14:paraId="41809E04" w14:textId="77777777" w:rsidR="00897FB7" w:rsidRPr="00897FB7" w:rsidRDefault="00897FB7" w:rsidP="00897FB7">
      <w:pPr>
        <w:pStyle w:val="NoSpacing"/>
        <w:tabs>
          <w:tab w:val="left" w:pos="2100"/>
          <w:tab w:val="right" w:pos="7756"/>
        </w:tabs>
        <w:rPr>
          <w:rFonts w:ascii="Book Antiqua" w:eastAsia="Tw Cen MT" w:hAnsi="Book Antiqua"/>
          <w:iCs/>
          <w:szCs w:val="48"/>
          <w:lang w:val="en-US" w:eastAsia="ja-JP"/>
        </w:rPr>
      </w:pPr>
    </w:p>
    <w:p w14:paraId="6A04E176" w14:textId="77777777" w:rsidR="00452281" w:rsidRPr="00897FB7" w:rsidRDefault="00452281">
      <w:pPr>
        <w:pStyle w:val="NoSpacing"/>
        <w:tabs>
          <w:tab w:val="left" w:pos="2100"/>
          <w:tab w:val="right" w:pos="7756"/>
        </w:tabs>
        <w:rPr>
          <w:rFonts w:ascii="Book Antiqua" w:eastAsia="Tw Cen MT" w:hAnsi="Book Antiqua"/>
          <w:iCs/>
          <w:szCs w:val="48"/>
          <w:lang w:val="en-US" w:eastAsia="ja-JP"/>
        </w:rPr>
      </w:pPr>
    </w:p>
    <w:sectPr w:rsidR="00452281" w:rsidRPr="00897FB7" w:rsidSect="00452281">
      <w:pgSz w:w="11907" w:h="16839" w:code="9"/>
      <w:pgMar w:top="495" w:right="1440" w:bottom="28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26FC4" w14:textId="77777777" w:rsidR="001B0892" w:rsidRDefault="001B0892" w:rsidP="002F2428">
      <w:pPr>
        <w:spacing w:after="0" w:line="240" w:lineRule="auto"/>
      </w:pPr>
      <w:r>
        <w:separator/>
      </w:r>
    </w:p>
  </w:endnote>
  <w:endnote w:type="continuationSeparator" w:id="0">
    <w:p w14:paraId="35F2B832" w14:textId="77777777" w:rsidR="001B0892" w:rsidRDefault="001B0892" w:rsidP="002F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F955E" w14:textId="77777777" w:rsidR="001B0892" w:rsidRDefault="001B0892" w:rsidP="002F2428">
      <w:pPr>
        <w:spacing w:after="0" w:line="240" w:lineRule="auto"/>
      </w:pPr>
      <w:r>
        <w:separator/>
      </w:r>
    </w:p>
  </w:footnote>
  <w:footnote w:type="continuationSeparator" w:id="0">
    <w:p w14:paraId="3A4CBD30" w14:textId="77777777" w:rsidR="001B0892" w:rsidRDefault="001B0892" w:rsidP="002F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7AEC"/>
    <w:multiLevelType w:val="multilevel"/>
    <w:tmpl w:val="1778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E51CB"/>
    <w:multiLevelType w:val="hybridMultilevel"/>
    <w:tmpl w:val="AC90B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1D38"/>
    <w:multiLevelType w:val="hybridMultilevel"/>
    <w:tmpl w:val="59DE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0799"/>
    <w:multiLevelType w:val="hybridMultilevel"/>
    <w:tmpl w:val="67A4916E"/>
    <w:lvl w:ilvl="0" w:tplc="FFFFFFFF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0F7484"/>
    <w:multiLevelType w:val="hybridMultilevel"/>
    <w:tmpl w:val="7326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B7"/>
    <w:rsid w:val="00074594"/>
    <w:rsid w:val="000857B7"/>
    <w:rsid w:val="000D7B62"/>
    <w:rsid w:val="000E5633"/>
    <w:rsid w:val="001014D0"/>
    <w:rsid w:val="001354FF"/>
    <w:rsid w:val="00165FD3"/>
    <w:rsid w:val="0017281B"/>
    <w:rsid w:val="001A2549"/>
    <w:rsid w:val="001B0892"/>
    <w:rsid w:val="001D507F"/>
    <w:rsid w:val="00201801"/>
    <w:rsid w:val="002019E3"/>
    <w:rsid w:val="00295D15"/>
    <w:rsid w:val="002C1A44"/>
    <w:rsid w:val="002F2106"/>
    <w:rsid w:val="002F2428"/>
    <w:rsid w:val="0030529A"/>
    <w:rsid w:val="00316BAC"/>
    <w:rsid w:val="00360331"/>
    <w:rsid w:val="003653E1"/>
    <w:rsid w:val="00376369"/>
    <w:rsid w:val="00390B22"/>
    <w:rsid w:val="003938FE"/>
    <w:rsid w:val="00397378"/>
    <w:rsid w:val="003A6B6B"/>
    <w:rsid w:val="00414DBE"/>
    <w:rsid w:val="00452281"/>
    <w:rsid w:val="00457AEB"/>
    <w:rsid w:val="00477611"/>
    <w:rsid w:val="004D0194"/>
    <w:rsid w:val="005130EC"/>
    <w:rsid w:val="005B410B"/>
    <w:rsid w:val="005E59C9"/>
    <w:rsid w:val="005F3A07"/>
    <w:rsid w:val="006A0A9B"/>
    <w:rsid w:val="006B7902"/>
    <w:rsid w:val="006C4619"/>
    <w:rsid w:val="006D0775"/>
    <w:rsid w:val="006F0F3C"/>
    <w:rsid w:val="00845857"/>
    <w:rsid w:val="00897FB7"/>
    <w:rsid w:val="008F5030"/>
    <w:rsid w:val="009A79A9"/>
    <w:rsid w:val="009B7EDE"/>
    <w:rsid w:val="009C7303"/>
    <w:rsid w:val="00A16889"/>
    <w:rsid w:val="00A2528D"/>
    <w:rsid w:val="00A35699"/>
    <w:rsid w:val="00A513BE"/>
    <w:rsid w:val="00A66506"/>
    <w:rsid w:val="00AA5B7E"/>
    <w:rsid w:val="00AF04B8"/>
    <w:rsid w:val="00B011DF"/>
    <w:rsid w:val="00BB4406"/>
    <w:rsid w:val="00BF5BB6"/>
    <w:rsid w:val="00C513C5"/>
    <w:rsid w:val="00CE6B45"/>
    <w:rsid w:val="00CF3076"/>
    <w:rsid w:val="00D068F2"/>
    <w:rsid w:val="00D85AB9"/>
    <w:rsid w:val="00E02CD6"/>
    <w:rsid w:val="00E409B9"/>
    <w:rsid w:val="00E70655"/>
    <w:rsid w:val="00E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DB0EC"/>
  <w15:chartTrackingRefBased/>
  <w15:docId w15:val="{4EDF6277-3A37-9B49-8190-87A9DBA1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A9"/>
    <w:pPr>
      <w:spacing w:after="200" w:line="276" w:lineRule="auto"/>
    </w:pPr>
    <w:rPr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7FB7"/>
    <w:pPr>
      <w:spacing w:after="0" w:line="264" w:lineRule="auto"/>
      <w:outlineLvl w:val="5"/>
    </w:pPr>
    <w:rPr>
      <w:rFonts w:ascii="Tw Cen MT" w:eastAsia="Tw Cen MT" w:hAnsi="Tw Cen MT"/>
      <w:b/>
      <w:color w:val="DD8047"/>
      <w:spacing w:val="10"/>
      <w:sz w:val="23"/>
      <w:szCs w:val="20"/>
      <w:lang w:val="x-non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uiPriority w:val="1"/>
    <w:qFormat/>
    <w:rsid w:val="00897FB7"/>
    <w:pPr>
      <w:spacing w:after="0" w:line="264" w:lineRule="auto"/>
    </w:pPr>
    <w:rPr>
      <w:rFonts w:ascii="Tw Cen MT" w:eastAsia="Tw Cen MT" w:hAnsi="Tw Cen MT"/>
      <w:color w:val="FFFFFF"/>
      <w:sz w:val="40"/>
      <w:szCs w:val="20"/>
      <w:lang w:eastAsia="ja-JP"/>
    </w:rPr>
  </w:style>
  <w:style w:type="character" w:customStyle="1" w:styleId="Heading6Char">
    <w:name w:val="Heading 6 Char"/>
    <w:link w:val="Heading6"/>
    <w:uiPriority w:val="9"/>
    <w:rsid w:val="00897FB7"/>
    <w:rPr>
      <w:rFonts w:ascii="Tw Cen MT" w:eastAsia="Tw Cen MT" w:hAnsi="Tw Cen MT" w:cs="Times New Roman"/>
      <w:b/>
      <w:color w:val="DD8047"/>
      <w:spacing w:val="10"/>
      <w:sz w:val="23"/>
      <w:szCs w:val="20"/>
      <w:lang w:eastAsia="ja-JP"/>
    </w:rPr>
  </w:style>
  <w:style w:type="paragraph" w:styleId="NoSpacing">
    <w:name w:val="No Spacing"/>
    <w:uiPriority w:val="1"/>
    <w:qFormat/>
    <w:rsid w:val="00897FB7"/>
    <w:rPr>
      <w:rFonts w:cs="Arial"/>
      <w:sz w:val="22"/>
      <w:szCs w:val="22"/>
      <w:lang w:val="en-IN"/>
    </w:rPr>
  </w:style>
  <w:style w:type="character" w:styleId="Hyperlink">
    <w:name w:val="Hyperlink"/>
    <w:uiPriority w:val="99"/>
    <w:unhideWhenUsed/>
    <w:rsid w:val="00897FB7"/>
    <w:rPr>
      <w:color w:val="0000FF"/>
      <w:u w:val="single"/>
    </w:rPr>
  </w:style>
  <w:style w:type="paragraph" w:styleId="Header">
    <w:name w:val="header"/>
    <w:basedOn w:val="Normal"/>
    <w:link w:val="HeaderChar"/>
    <w:rsid w:val="00897FB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97FB7"/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uiPriority w:val="2"/>
    <w:qFormat/>
    <w:rsid w:val="00897FB7"/>
    <w:pPr>
      <w:spacing w:before="480" w:after="40" w:line="240" w:lineRule="auto"/>
    </w:pPr>
    <w:rPr>
      <w:rFonts w:ascii="Tw Cen MT" w:eastAsia="Tw Cen MT" w:hAnsi="Tw Cen MT"/>
      <w:b/>
      <w:caps/>
      <w:color w:val="DD8047"/>
      <w:spacing w:val="60"/>
      <w:sz w:val="24"/>
      <w:szCs w:val="20"/>
      <w:lang w:eastAsia="ja-JP"/>
    </w:rPr>
  </w:style>
  <w:style w:type="paragraph" w:styleId="ListBullet">
    <w:name w:val="List Bullet"/>
    <w:basedOn w:val="Normal"/>
    <w:unhideWhenUsed/>
    <w:qFormat/>
    <w:rsid w:val="00897FB7"/>
    <w:pPr>
      <w:numPr>
        <w:numId w:val="1"/>
      </w:numPr>
      <w:spacing w:after="180" w:line="264" w:lineRule="auto"/>
    </w:pPr>
    <w:rPr>
      <w:rFonts w:ascii="Tw Cen MT" w:eastAsia="Tw Cen MT" w:hAnsi="Tw Cen MT"/>
      <w:sz w:val="24"/>
      <w:szCs w:val="20"/>
      <w:lang w:eastAsia="ja-JP"/>
    </w:rPr>
  </w:style>
  <w:style w:type="table" w:styleId="TableGrid">
    <w:name w:val="Table Grid"/>
    <w:basedOn w:val="TableNormal"/>
    <w:uiPriority w:val="59"/>
    <w:rsid w:val="00BF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B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242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F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428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aryaamit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212D-C1B4-4681-88B6-3A49C4F0D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</dc:creator>
  <cp:keywords/>
  <cp:lastModifiedBy>Kumar, Akash</cp:lastModifiedBy>
  <cp:revision>21</cp:revision>
  <cp:lastPrinted>2015-06-05T13:29:00Z</cp:lastPrinted>
  <dcterms:created xsi:type="dcterms:W3CDTF">2019-11-06T07:43:00Z</dcterms:created>
  <dcterms:modified xsi:type="dcterms:W3CDTF">2021-09-05T13:54:00Z</dcterms:modified>
</cp:coreProperties>
</file>