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i-variants"/>
    <w:p>
      <w:pPr>
        <w:pStyle w:val="Heading1"/>
      </w:pPr>
      <w:r>
        <w:t xml:space="preserve">CLI variants</w:t>
      </w:r>
    </w:p>
    <w:p>
      <w:pPr>
        <w:pStyle w:val="FirstParagraph"/>
      </w:pPr>
      <w:r>
        <w:t xml:space="preserve">Use one tool for the course if you can. Switching tools every lesson adds noise. The habits are the same; commands and permission models differ.</w:t>
      </w:r>
    </w:p>
    <w:bookmarkStart w:id="20" w:name="pick-a-track"/>
    <w:p>
      <w:pPr>
        <w:pStyle w:val="Heading2"/>
      </w:pPr>
      <w:r>
        <w:t xml:space="preserve">Pick a track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course path, strongest fit for planning, editing, and repo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 and permission prompts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users, review-heavy code work, test-driven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mode, sandbox rules, command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users, large-context exploration, multimodal-adjacent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 context and command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Snowflake 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org's Coco entry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data and Snowflake-centered 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boundaries, workspace access, governance</w:t>
            </w:r>
          </w:p>
        </w:tc>
      </w:tr>
    </w:tbl>
    <w:bookmarkEnd w:id="20"/>
    <w:bookmarkStart w:id="21" w:name="start-commands"/>
    <w:p>
      <w:pPr>
        <w:pStyle w:val="Heading2"/>
      </w:pPr>
      <w:r>
        <w:t xml:space="preserve">Start commands</w:t>
      </w:r>
    </w:p>
    <w:p>
      <w:pPr>
        <w:pStyle w:val="FirstParagraph"/>
      </w:pPr>
      <w:r>
        <w:t xml:space="preserve">Use one of these in the root of the project you are working on:</w:t>
      </w:r>
    </w:p>
    <w:p>
      <w:pPr>
        <w:pStyle w:val="SourceCode"/>
      </w:pPr>
      <w:r>
        <w:rPr>
          <w:rStyle w:val="CommentTok"/>
        </w:rPr>
        <w:t xml:space="preserve"># Claude Code track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path/to/your-project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Codex CLI track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path/to/your-project</w:t>
      </w:r>
      <w:r>
        <w:br/>
      </w:r>
      <w:r>
        <w:rPr>
          <w:rStyle w:val="ExtensionTok"/>
        </w:rPr>
        <w:t xml:space="preserve">codex</w:t>
      </w:r>
      <w:r>
        <w:br/>
      </w:r>
      <w:r>
        <w:br/>
      </w:r>
      <w:r>
        <w:rPr>
          <w:rStyle w:val="CommentTok"/>
        </w:rPr>
        <w:t xml:space="preserve"># Gemini CLI track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path/to/your-project</w:t>
      </w:r>
      <w:r>
        <w:br/>
      </w:r>
      <w:r>
        <w:rPr>
          <w:rStyle w:val="ExtensionTok"/>
        </w:rPr>
        <w:t xml:space="preserve">gemini</w:t>
      </w:r>
    </w:p>
    <w:p>
      <w:pPr>
        <w:pStyle w:val="FirstParagraph"/>
      </w:pPr>
      <w:r>
        <w:t xml:space="preserve">Coco learners should open the approved workspace for the repo, Snowflake object, or data product. The command is whatever your organization has standardized.</w:t>
      </w:r>
    </w:p>
    <w:bookmarkEnd w:id="21"/>
    <w:bookmarkStart w:id="22" w:name="translation-table"/>
    <w:p>
      <w:pPr>
        <w:pStyle w:val="Heading2"/>
      </w:pPr>
      <w:r>
        <w:t xml:space="preserve">Translation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Course 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a 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in the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codex</w:t>
            </w:r>
            <w:r>
              <w:t xml:space="preserve"> </w:t>
            </w:r>
            <w:r>
              <w:t xml:space="preserve">in the repo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</w:t>
            </w:r>
            <w:r>
              <w:t xml:space="preserve"> </w:t>
            </w:r>
            <w:r>
              <w:t xml:space="preserve">in the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Coco in the approved 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for orientation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 does this project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prompt, scoped to allowed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before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Shift+Tab into Plan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a plan and do not approve edits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a plan before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 written plan before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 file 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proposed edit/tool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file patch and command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edit/tool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governed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interrupt/stop in the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interrupt/stop in the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run/session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tests, inspect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tests, inspect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tests, inspect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approved checks and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, playbooks, memory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AGENTS.md</w:t>
            </w:r>
            <w:r>
              <w:t xml:space="preserve">, repo instructions, memory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instructions, memory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workspace docs</w:t>
            </w:r>
          </w:p>
        </w:tc>
      </w:tr>
    </w:tbl>
    <w:bookmarkEnd w:id="22"/>
    <w:bookmarkStart w:id="23" w:name="one-rule-across-every-tool"/>
    <w:p>
      <w:pPr>
        <w:pStyle w:val="Heading2"/>
      </w:pPr>
      <w:r>
        <w:t xml:space="preserve">One rule across every tool</w:t>
      </w:r>
    </w:p>
    <w:p>
      <w:pPr>
        <w:pStyle w:val="FirstParagraph"/>
      </w:pPr>
      <w:r>
        <w:t xml:space="preserve">Accept output only when you can point to proof: a diff you read, a test you ran, a page you opened, command output you understand, or a reviewer note you wrote.</w:t>
      </w:r>
    </w:p>
    <w:p>
      <w:pPr>
        <w:pStyle w:val="SourceCode"/>
      </w:pPr>
      <w:r>
        <w:rPr>
          <w:rStyle w:val="CommentTok"/>
        </w:rPr>
        <w:t xml:space="preserve"># proof commands you will use constantly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</w:t>
      </w:r>
      <w:r>
        <w:rPr>
          <w:rStyle w:val="AttributeTok"/>
        </w:rPr>
        <w:t xml:space="preserve">--short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https://your-live-url.example</w:t>
      </w:r>
    </w:p>
    <w:bookmarkEnd w:id="23"/>
    <w:bookmarkStart w:id="24" w:name="teaching-notes-by-tool"/>
    <w:p>
      <w:pPr>
        <w:pStyle w:val="Heading2"/>
      </w:pPr>
      <w:r>
        <w:t xml:space="preserve">Teaching notes by tool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emphasize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to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Explore, plan, implement, verify. Keep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short and useful.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Letting context fill up, or treating plan mode as ceremony instead of judgment.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Codex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terminal work, approvals, sandboxing, command output, and review before accepting diffs.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Approving commands without reading what they can touch.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Large-context exploration, file tools, shell tools, web fetch, memory, and trusted folders.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Letting exploration replace a narrow done 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Governed data work, approved objects, auditability, warehouse-local proof.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Treating enterprise data access as if it were a local toy repo.</w:t>
            </w:r>
          </w:p>
        </w:tc>
      </w:tr>
    </w:tbl>
    <w:p>
      <w:pPr>
        <w:pStyle w:val="BodyText"/>
      </w:pPr>
      <w:r>
        <w:t xml:space="preserve">The instructor move is the same in every track: ask for the plan, stop at the diff, run proof, write the handoff.</w:t>
      </w:r>
    </w:p>
    <w:bookmarkEnd w:id="24"/>
    <w:bookmarkStart w:id="30" w:name="external-references-for-instructors"/>
    <w:p>
      <w:pPr>
        <w:pStyle w:val="Heading2"/>
      </w:pPr>
      <w:r>
        <w:t xml:space="preserve">External references for instructors</w:t>
      </w:r>
    </w:p>
    <w:p>
      <w:pPr>
        <w:numPr>
          <w:ilvl w:val="0"/>
          <w:numId w:val="1001"/>
        </w:numPr>
        <w:pStyle w:val="Compact"/>
      </w:pPr>
      <w:hyperlink r:id="rId25">
        <w:r>
          <w:rPr>
            <w:rStyle w:val="Hyperlink"/>
          </w:rPr>
          <w:t xml:space="preserve">Claude Code best practices</w:t>
        </w:r>
      </w:hyperlink>
      <w:r>
        <w:t xml:space="preserve">: verification, planning, context, permissions, subagents, and review patterns.</w:t>
      </w:r>
    </w:p>
    <w:p>
      <w:pPr>
        <w:numPr>
          <w:ilvl w:val="0"/>
          <w:numId w:val="1001"/>
        </w:numPr>
        <w:pStyle w:val="Compact"/>
      </w:pPr>
      <w:hyperlink r:id="rId26">
        <w:r>
          <w:rPr>
            <w:rStyle w:val="Hyperlink"/>
          </w:rPr>
          <w:t xml:space="preserve">Anthropic: Building effective agents</w:t>
        </w:r>
      </w:hyperlink>
      <w:r>
        <w:t xml:space="preserve">: when to use simple LLM calls, workflows, and agents.</w:t>
      </w:r>
    </w:p>
    <w:p>
      <w:pPr>
        <w:numPr>
          <w:ilvl w:val="0"/>
          <w:numId w:val="1001"/>
        </w:numPr>
        <w:pStyle w:val="Compact"/>
      </w:pPr>
      <w:hyperlink r:id="rId27">
        <w:r>
          <w:rPr>
            <w:rStyle w:val="Hyperlink"/>
          </w:rPr>
          <w:t xml:space="preserve">Anthropic: Writing effective tools for agents</w:t>
        </w:r>
      </w:hyperlink>
      <w:r>
        <w:t xml:space="preserve">: tool definitions, context, and evaluation-driven tool design.</w:t>
      </w:r>
    </w:p>
    <w:p>
      <w:pPr>
        <w:numPr>
          <w:ilvl w:val="0"/>
          <w:numId w:val="1001"/>
        </w:numPr>
        <w:pStyle w:val="Compact"/>
      </w:pPr>
      <w:hyperlink r:id="rId28">
        <w:r>
          <w:rPr>
            <w:rStyle w:val="Hyperlink"/>
          </w:rPr>
          <w:t xml:space="preserve">OpenAI Codex CLI docs</w:t>
        </w:r>
      </w:hyperlink>
      <w:r>
        <w:t xml:space="preserve">: Codex CLI setup, local repo work, approvals, code review, subagents, web search, and MCP.</w:t>
      </w:r>
    </w:p>
    <w:p>
      <w:pPr>
        <w:numPr>
          <w:ilvl w:val="0"/>
          <w:numId w:val="1001"/>
        </w:numPr>
        <w:pStyle w:val="Compact"/>
      </w:pPr>
      <w:hyperlink r:id="rId29">
        <w:r>
          <w:rPr>
            <w:rStyle w:val="Hyperlink"/>
          </w:rPr>
          <w:t xml:space="preserve">Gemini CLI docs</w:t>
        </w:r>
      </w:hyperlink>
      <w:r>
        <w:t xml:space="preserve">: Gemini CLI architecture, file tools, shell tools, web fetch, memory, MCP servers, and trusted folders.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www.anthropic.com/engineering/building-effective-agents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hyperlink" Target="https://code.claude.com/docs/en/best-practices" TargetMode="External"/><Relationship Id="rId2" Type="http://schemas.openxmlformats.org/officeDocument/2006/relationships/styles" Target="styles.xml"/><Relationship Id="rId29" Type="http://schemas.openxmlformats.org/officeDocument/2006/relationships/hyperlink" Target="https://google-gemini.github.io/gemini-cli/docs/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3.xml"/><Relationship Id="rId5" Type="http://schemas.openxmlformats.org/officeDocument/2006/relationships/fontTable" Target="fontTable.xml"/><Relationship Id="rId28" Type="http://schemas.openxmlformats.org/officeDocument/2006/relationships/hyperlink" Target="https://developers.openai.com/codex/cli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27" Type="http://schemas.openxmlformats.org/officeDocument/2006/relationships/hyperlink" Target="https://www.anthropic.com/engineering/writing-tools-for-agents" TargetMode="External"/><Relationship Id="rId30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code.claude.com/docs/en/best-practices" TargetMode="External" /><Relationship Type="http://schemas.openxmlformats.org/officeDocument/2006/relationships/hyperlink" Id="rId28" Target="https://developers.openai.com/codex/cli" TargetMode="External" /><Relationship Type="http://schemas.openxmlformats.org/officeDocument/2006/relationships/hyperlink" Id="rId29" Target="https://google-gemini.github.io/gemini-cli/docs/" TargetMode="External" /><Relationship Type="http://schemas.openxmlformats.org/officeDocument/2006/relationships/hyperlink" Id="rId26" Target="https://www.anthropic.com/engineering/building-effective-agents" TargetMode="External" /><Relationship Type="http://schemas.openxmlformats.org/officeDocument/2006/relationships/hyperlink" Id="rId27" Target="https://www.anthropic.com/engineering/writing-tools-for-ag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4C5E99-9FF6-4C4C-BF0D-7A004C59B1CE}"/>
</file>

<file path=customXml/itemProps2.xml><?xml version="1.0" encoding="utf-8"?>
<ds:datastoreItem xmlns:ds="http://schemas.openxmlformats.org/officeDocument/2006/customXml" ds:itemID="{17A2483E-4BB7-48FC-84A4-8B22DD1CC10A}"/>
</file>

<file path=customXml/itemProps3.xml><?xml version="1.0" encoding="utf-8"?>
<ds:datastoreItem xmlns:ds="http://schemas.openxmlformats.org/officeDocument/2006/customXml" ds:itemID="{1B4D039A-9E5F-413D-9A18-9EFA6E747AB4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2026-07-13T07:12:59Z</dcterms:created>
  <dcterms:modified xsi:type="dcterms:W3CDTF">2026-07-13T07:12:59Z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