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agentic-engineering-brand-system"/>
    <w:p>
      <w:pPr>
        <w:pStyle w:val="Heading1"/>
      </w:pPr>
      <w:r>
        <w:t xml:space="preserve">Agentic Engineering brand system</w:t>
      </w:r>
    </w:p>
    <w:p>
      <w:pPr>
        <w:pStyle w:val="FirstParagraph"/>
      </w:pPr>
      <w:r>
        <w:t xml:space="preserve">Working brand system for the curriculum, workshop, and job-pathways material.</w:t>
      </w:r>
    </w:p>
    <w:p>
      <w:pPr>
        <w:pStyle w:val="BodyText"/>
      </w:pPr>
      <w:r>
        <w:t xml:space="preserve">Direction:</w:t>
      </w:r>
      <w:r>
        <w:t xml:space="preserve"> </w:t>
      </w:r>
      <w:r>
        <w:rPr>
          <w:bCs/>
          <w:b/>
        </w:rPr>
        <w:t xml:space="preserve">Stitch-style documentation</w:t>
      </w:r>
      <w:r>
        <w:t xml:space="preserve">. Calm, precise, useful, built around people doing real work.</w:t>
      </w:r>
    </w:p>
    <w:bookmarkStart w:id="20" w:name="positioning"/>
    <w:p>
      <w:pPr>
        <w:pStyle w:val="Heading2"/>
      </w:pPr>
      <w:r>
        <w:t xml:space="preserve">Positioning</w:t>
      </w:r>
    </w:p>
    <w:p>
      <w:pPr>
        <w:pStyle w:val="FirstParagraph"/>
      </w:pPr>
      <w:r>
        <w:rPr>
          <w:bCs/>
          <w:b/>
        </w:rPr>
        <w:t xml:space="preserve">This program helps teams ship useful AI work with agentic engineering.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should communicate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Practical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Learners leave with repos, commands, diffs, checks, and proof.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Practical judgment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material teaches review, gates, and delivery discipline.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In-person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workshop should feel like a room where people build, review, and improve together.</w:t>
            </w:r>
          </w:p>
        </w:tc>
      </w:tr>
    </w:tbl>
    <w:bookmarkEnd w:id="20"/>
    <w:bookmarkStart w:id="21" w:name="brand-idea"/>
    <w:p>
      <w:pPr>
        <w:pStyle w:val="Heading2"/>
      </w:pPr>
      <w:r>
        <w:t xml:space="preserve">Brand idea</w:t>
      </w:r>
    </w:p>
    <w:p>
      <w:pPr>
        <w:pStyle w:val="FirstParagraph"/>
      </w:pPr>
      <w:r>
        <w:rPr>
          <w:bCs/>
          <w:b/>
        </w:rPr>
        <w:t xml:space="preserve">Clear work, visible proof.</w:t>
      </w:r>
    </w:p>
    <w:p>
      <w:pPr>
        <w:pStyle w:val="BodyText"/>
      </w:pPr>
      <w:r>
        <w:t xml:space="preserve">The work spans agents, data, SDLC, MLOps, AI apps, workflows, and leadership adoption. The brand should make it feel clear, teachable, and executable.</w:t>
      </w:r>
    </w:p>
    <w:p>
      <w:pPr>
        <w:pStyle w:val="BodyText"/>
      </w:pPr>
      <w:r>
        <w:t xml:space="preserve">Use language that sounds like:</w:t>
      </w:r>
    </w:p>
    <w:p>
      <w:pPr>
        <w:numPr>
          <w:ilvl w:val="0"/>
          <w:numId w:val="1001"/>
        </w:numPr>
        <w:pStyle w:val="Compact"/>
      </w:pPr>
      <w:r>
        <w:t xml:space="preserve">"Here is the next step."</w:t>
      </w:r>
    </w:p>
    <w:p>
      <w:pPr>
        <w:numPr>
          <w:ilvl w:val="0"/>
          <w:numId w:val="1001"/>
        </w:numPr>
        <w:pStyle w:val="Compact"/>
      </w:pPr>
      <w:r>
        <w:t xml:space="preserve">"Here is the proof."</w:t>
      </w:r>
    </w:p>
    <w:p>
      <w:pPr>
        <w:numPr>
          <w:ilvl w:val="0"/>
          <w:numId w:val="1001"/>
        </w:numPr>
        <w:pStyle w:val="Compact"/>
      </w:pPr>
      <w:r>
        <w:t xml:space="preserve">"Here is what good looks like."</w:t>
      </w:r>
    </w:p>
    <w:p>
      <w:pPr>
        <w:numPr>
          <w:ilvl w:val="0"/>
          <w:numId w:val="1001"/>
        </w:numPr>
        <w:pStyle w:val="Compact"/>
      </w:pPr>
      <w:r>
        <w:t xml:space="preserve">"Here is how to recover when the agent drifts."</w:t>
      </w:r>
    </w:p>
    <w:p>
      <w:pPr>
        <w:pStyle w:val="FirstParagraph"/>
      </w:pPr>
      <w:r>
        <w:t xml:space="preserve">Avoid language that sounds like:</w:t>
      </w:r>
    </w:p>
    <w:p>
      <w:pPr>
        <w:numPr>
          <w:ilvl w:val="0"/>
          <w:numId w:val="1002"/>
        </w:numPr>
        <w:pStyle w:val="Compact"/>
      </w:pPr>
      <w:r>
        <w:t xml:space="preserve">"Unlock the future."</w:t>
      </w:r>
    </w:p>
    <w:p>
      <w:pPr>
        <w:numPr>
          <w:ilvl w:val="0"/>
          <w:numId w:val="1002"/>
        </w:numPr>
        <w:pStyle w:val="Compact"/>
      </w:pPr>
      <w:r>
        <w:t xml:space="preserve">"Revolutionize your workflow."</w:t>
      </w:r>
    </w:p>
    <w:p>
      <w:pPr>
        <w:numPr>
          <w:ilvl w:val="0"/>
          <w:numId w:val="1002"/>
        </w:numPr>
        <w:pStyle w:val="Compact"/>
      </w:pPr>
      <w:r>
        <w:t xml:space="preserve">"Magic AI productivity."</w:t>
      </w:r>
    </w:p>
    <w:p>
      <w:pPr>
        <w:numPr>
          <w:ilvl w:val="0"/>
          <w:numId w:val="1002"/>
        </w:numPr>
        <w:pStyle w:val="Compact"/>
      </w:pPr>
      <w:r>
        <w:t xml:space="preserve">"One guide to master everything."</w:t>
      </w:r>
    </w:p>
    <w:bookmarkEnd w:id="21"/>
    <w:bookmarkStart w:id="26" w:name="visual-system"/>
    <w:p>
      <w:pPr>
        <w:pStyle w:val="Heading2"/>
      </w:pPr>
      <w:r>
        <w:t xml:space="preserve">Visual System</w:t>
      </w:r>
    </w:p>
    <w:bookmarkStart w:id="22" w:name="palette"/>
    <w:p>
      <w:pPr>
        <w:pStyle w:val="Heading3"/>
      </w:pPr>
      <w:r>
        <w:t xml:space="preserve">Palette</w:t>
      </w:r>
    </w:p>
    <w:p>
      <w:pPr>
        <w:pStyle w:val="FirstParagraph"/>
      </w:pPr>
      <w:r>
        <w:t xml:space="preserve">Use the blue/slate system for the curriculum.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#004ac6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Links, active states, small emphasis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strong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#003996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 and primary action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soft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#dbe8ff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light emphasis backgrounds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#f7f9fb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background outside docs surfaces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 low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#f1f5f9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Subtle panels and code backgrounds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#d9e2ef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Dividers, tables, inputs, nav 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#0f172a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Muted text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#565e74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copy</w:t>
            </w:r>
          </w:p>
        </w:tc>
      </w:tr>
    </w:tbl>
    <w:p>
      <w:pPr>
        <w:pStyle w:val="BodyText"/>
      </w:pPr>
      <w:r>
        <w:t xml:space="preserve">Do not bring back the old warm curriculum palette. The logo can remain; the curriculum visual language is blue/slate.</w:t>
      </w:r>
    </w:p>
    <w:bookmarkEnd w:id="22"/>
    <w:bookmarkStart w:id="23" w:name="typography"/>
    <w:p>
      <w:pPr>
        <w:pStyle w:val="Heading3"/>
      </w:pPr>
      <w:r>
        <w:t xml:space="preserve">Typography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Strong, direct, no decorative tracking except small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 baseline, generous line height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JetBrains Mono / ui-monospace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Small, readable, copyable</w:t>
            </w:r>
          </w:p>
        </w:tc>
      </w:tr>
    </w:tbl>
    <w:p>
      <w:pPr>
        <w:pStyle w:val="BodyText"/>
      </w:pPr>
      <w:r>
        <w:t xml:space="preserve">Headings should be plain and literal.</w:t>
      </w:r>
    </w:p>
    <w:p>
      <w:pPr>
        <w:pStyle w:val="BodyText"/>
      </w:pPr>
      <w:r>
        <w:t xml:space="preserve">Good:</w:t>
      </w:r>
    </w:p>
    <w:p>
      <w:pPr>
        <w:pStyle w:val="SourceCode"/>
      </w:pPr>
      <w:r>
        <w:rPr>
          <w:rStyle w:val="VerbatimChar"/>
        </w:rPr>
        <w:t xml:space="preserve">Lesson 3.3 · Build it, step by step</w:t>
      </w:r>
      <w:r>
        <w:br/>
      </w:r>
      <w:r>
        <w:rPr>
          <w:rStyle w:val="VerbatimChar"/>
        </w:rPr>
        <w:t xml:space="preserve">Data + AI practice labs</w:t>
      </w:r>
      <w:r>
        <w:br/>
      </w:r>
      <w:r>
        <w:rPr>
          <w:rStyle w:val="VerbatimChar"/>
        </w:rPr>
        <w:t xml:space="preserve">Job pathways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Unlocking the Agentic Future</w:t>
      </w:r>
      <w:r>
        <w:br/>
      </w:r>
      <w:r>
        <w:rPr>
          <w:rStyle w:val="VerbatimChar"/>
        </w:rPr>
        <w:t xml:space="preserve">Your AI Transformation Starts Here</w:t>
      </w:r>
      <w:r>
        <w:br/>
      </w:r>
      <w:r>
        <w:rPr>
          <w:rStyle w:val="VerbatimChar"/>
        </w:rPr>
        <w:t xml:space="preserve">The Complete AI Playbook</w:t>
      </w:r>
    </w:p>
    <w:bookmarkEnd w:id="23"/>
    <w:bookmarkStart w:id="24" w:name="layout"/>
    <w:p>
      <w:pPr>
        <w:pStyle w:val="Heading3"/>
      </w:pPr>
      <w:r>
        <w:t xml:space="preserve">Layout</w:t>
      </w:r>
    </w:p>
    <w:p>
      <w:pPr>
        <w:pStyle w:val="FirstParagraph"/>
      </w:pPr>
      <w:r>
        <w:t xml:space="preserve">Use a documentation layout by default:</w:t>
      </w:r>
    </w:p>
    <w:p>
      <w:pPr>
        <w:numPr>
          <w:ilvl w:val="0"/>
          <w:numId w:val="1003"/>
        </w:numPr>
        <w:pStyle w:val="Compact"/>
      </w:pPr>
      <w:r>
        <w:t xml:space="preserve">left navigation,</w:t>
      </w:r>
    </w:p>
    <w:p>
      <w:pPr>
        <w:numPr>
          <w:ilvl w:val="0"/>
          <w:numId w:val="1003"/>
        </w:numPr>
        <w:pStyle w:val="Compact"/>
      </w:pPr>
      <w:r>
        <w:t xml:space="preserve">content column,</w:t>
      </w:r>
    </w:p>
    <w:p>
      <w:pPr>
        <w:numPr>
          <w:ilvl w:val="0"/>
          <w:numId w:val="1003"/>
        </w:numPr>
        <w:pStyle w:val="Compact"/>
      </w:pPr>
      <w:r>
        <w:t xml:space="preserve">optional right-side table of contents,</w:t>
      </w:r>
    </w:p>
    <w:p>
      <w:pPr>
        <w:numPr>
          <w:ilvl w:val="0"/>
          <w:numId w:val="1003"/>
        </w:numPr>
        <w:pStyle w:val="Compact"/>
      </w:pPr>
      <w:r>
        <w:t xml:space="preserve">minimal top navigation,</w:t>
      </w:r>
    </w:p>
    <w:p>
      <w:pPr>
        <w:numPr>
          <w:ilvl w:val="0"/>
          <w:numId w:val="1003"/>
        </w:numPr>
        <w:pStyle w:val="Compact"/>
      </w:pPr>
      <w:r>
        <w:t xml:space="preserve">no decorative hero section on lesson pages.</w:t>
      </w:r>
    </w:p>
    <w:p>
      <w:pPr>
        <w:pStyle w:val="FirstParagraph"/>
      </w:pPr>
      <w:r>
        <w:t xml:space="preserve">The page should open on the material. Brand shows through restraint, consistency, and useful structure.</w:t>
      </w:r>
    </w:p>
    <w:bookmarkEnd w:id="24"/>
    <w:bookmarkStart w:id="25" w:name="components"/>
    <w:p>
      <w:pPr>
        <w:pStyle w:val="Heading3"/>
      </w:pPr>
      <w:r>
        <w:t xml:space="preserve">Components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Sidebar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text links with a blue left active border. No pill cards.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Border-led, light background, copy button, no heavy shadow.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borders, compact rows, no marketing-card treatment.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only when the learner needs a warning, decision, proof rule, or engineering judgment tip.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sparingly. Prefer links in docs; reserve buttons for actual actions.</w:t>
            </w:r>
          </w:p>
        </w:tc>
      </w:tr>
    </w:tbl>
    <w:bookmarkEnd w:id="25"/>
    <w:bookmarkEnd w:id="26"/>
    <w:bookmarkStart w:id="30" w:name="documentation-patterns"/>
    <w:p>
      <w:pPr>
        <w:pStyle w:val="Heading2"/>
      </w:pPr>
      <w:r>
        <w:t xml:space="preserve">Documentation Patterns</w:t>
      </w:r>
    </w:p>
    <w:bookmarkStart w:id="27" w:name="engineering-judgment-tip"/>
    <w:p>
      <w:pPr>
        <w:pStyle w:val="Heading3"/>
      </w:pPr>
      <w:r>
        <w:t xml:space="preserve">Engineering Judgment Tip</w:t>
      </w:r>
    </w:p>
    <w:p>
      <w:pPr>
        <w:pStyle w:val="FirstParagraph"/>
      </w:pPr>
      <w:r>
        <w:t xml:space="preserve">Use this when the learner needs judgment.</w:t>
      </w:r>
    </w:p>
    <w:p>
      <w:pPr>
        <w:pStyle w:val="BlockText"/>
      </w:pPr>
      <w:r>
        <w:rPr>
          <w:bCs/>
          <w:b/>
        </w:rPr>
        <w:t xml:space="preserve">Engineering Judgment Tip</w:t>
      </w:r>
    </w:p>
    <w:p>
      <w:pPr>
        <w:pStyle w:val="BlockText"/>
      </w:pPr>
      <w:r>
        <w:t xml:space="preserve">Optimize for readability over brevity. In agentic systems, the bottleneck is usually the human's ability to review, debug, and recover from the agent's choices.</w:t>
      </w:r>
    </w:p>
    <w:bookmarkEnd w:id="27"/>
    <w:bookmarkStart w:id="28" w:name="stitched-progress"/>
    <w:p>
      <w:pPr>
        <w:pStyle w:val="Heading3"/>
      </w:pPr>
      <w:r>
        <w:t xml:space="preserve">Stitched Progress</w:t>
      </w:r>
    </w:p>
    <w:p>
      <w:pPr>
        <w:pStyle w:val="FirstParagraph"/>
      </w:pPr>
      <w:r>
        <w:t xml:space="preserve">Use a thin blue left rule to show the active concept, lesson, or step. Keep inactive steps plain.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left rule, blue label, normal white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Muted text with proof attached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Muted text only; no decorative badge needed</w:t>
            </w:r>
          </w:p>
        </w:tc>
      </w:tr>
    </w:tbl>
    <w:bookmarkEnd w:id="28"/>
    <w:bookmarkStart w:id="29" w:name="code-blocks"/>
    <w:p>
      <w:pPr>
        <w:pStyle w:val="Heading3"/>
      </w:pPr>
      <w:r>
        <w:t xml:space="preserve">Code Blocks</w:t>
      </w:r>
    </w:p>
    <w:p>
      <w:pPr>
        <w:pStyle w:val="FirstParagraph"/>
      </w:pPr>
      <w:r>
        <w:t xml:space="preserve">Every command should be copyable and readable without horizontal guessing.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bookmarkEnd w:id="29"/>
    <w:bookmarkEnd w:id="30"/>
    <w:bookmarkStart w:id="31" w:name="voice"/>
    <w:p>
      <w:pPr>
        <w:pStyle w:val="Heading2"/>
      </w:pPr>
      <w:r>
        <w:t xml:space="preserve">Voice</w:t>
      </w:r>
    </w:p>
    <w:p>
      <w:pPr>
        <w:pStyle w:val="FirstParagraph"/>
      </w:pPr>
      <w:r>
        <w:t xml:space="preserve">Voice: a capable guide working beside the learner.</w:t>
      </w:r>
    </w:p>
    <w:p>
      <w:pPr>
        <w:pStyle w:val="BodyText"/>
      </w:pPr>
      <w:r>
        <w:t xml:space="preserve">Write like this:</w:t>
      </w:r>
    </w:p>
    <w:p>
      <w:pPr>
        <w:pStyle w:val="SourceCode"/>
      </w:pPr>
      <w:r>
        <w:rPr>
          <w:rStyle w:val="VerbatimChar"/>
        </w:rPr>
        <w:t xml:space="preserve">Start with the smallest version. Run it on a fixture. Read the diff before you accept it.</w:t>
      </w:r>
    </w:p>
    <w:p>
      <w:pPr>
        <w:pStyle w:val="FirstParagraph"/>
      </w:pPr>
      <w:r>
        <w:t xml:space="preserve">Not like this:</w:t>
      </w:r>
    </w:p>
    <w:p>
      <w:pPr>
        <w:pStyle w:val="SourceCode"/>
      </w:pPr>
      <w:r>
        <w:rPr>
          <w:rStyle w:val="VerbatimChar"/>
        </w:rPr>
        <w:t xml:space="preserve">This module empowers you to harness agentic workflows for unparalleled productivity.</w:t>
      </w:r>
    </w:p>
    <w:bookmarkEnd w:id="31"/>
    <w:bookmarkStart w:id="32" w:name="copy-rules"/>
    <w:p>
      <w:pPr>
        <w:pStyle w:val="Heading2"/>
      </w:pPr>
      <w:r>
        <w:t xml:space="preserve">Copy Rules</w:t>
      </w:r>
    </w:p>
    <w:p>
      <w:pPr>
        <w:pStyle w:val="FirstParagraph"/>
      </w:pPr>
      <w:r>
        <w:t xml:space="preserve">Use:</w:t>
      </w:r>
    </w:p>
    <w:p>
      <w:pPr>
        <w:numPr>
          <w:ilvl w:val="0"/>
          <w:numId w:val="1004"/>
        </w:numPr>
        <w:pStyle w:val="Compact"/>
      </w:pPr>
      <w:r>
        <w:t xml:space="preserve">short sentences,</w:t>
      </w:r>
    </w:p>
    <w:p>
      <w:pPr>
        <w:numPr>
          <w:ilvl w:val="0"/>
          <w:numId w:val="1004"/>
        </w:numPr>
        <w:pStyle w:val="Compact"/>
      </w:pPr>
      <w:r>
        <w:t xml:space="preserve">concrete nouns,</w:t>
      </w:r>
    </w:p>
    <w:p>
      <w:pPr>
        <w:numPr>
          <w:ilvl w:val="0"/>
          <w:numId w:val="1004"/>
        </w:numPr>
        <w:pStyle w:val="Compact"/>
      </w:pPr>
      <w:r>
        <w:t xml:space="preserve">commands,</w:t>
      </w:r>
    </w:p>
    <w:p>
      <w:pPr>
        <w:numPr>
          <w:ilvl w:val="0"/>
          <w:numId w:val="1004"/>
        </w:numPr>
        <w:pStyle w:val="Compact"/>
      </w:pPr>
      <w:r>
        <w:t xml:space="preserve">proof,</w:t>
      </w:r>
    </w:p>
    <w:p>
      <w:pPr>
        <w:numPr>
          <w:ilvl w:val="0"/>
          <w:numId w:val="1004"/>
        </w:numPr>
        <w:pStyle w:val="Compact"/>
      </w:pPr>
      <w:r>
        <w:t xml:space="preserve">small next steps,</w:t>
      </w:r>
    </w:p>
    <w:p>
      <w:pPr>
        <w:numPr>
          <w:ilvl w:val="0"/>
          <w:numId w:val="1004"/>
        </w:numPr>
        <w:pStyle w:val="Compact"/>
      </w:pPr>
      <w:r>
        <w:t xml:space="preserve">direct correction when needed.</w:t>
      </w:r>
    </w:p>
    <w:p>
      <w:pPr>
        <w:pStyle w:val="FirstParagraph"/>
      </w:pPr>
      <w:r>
        <w:t xml:space="preserve">Avoid:</w:t>
      </w:r>
    </w:p>
    <w:p>
      <w:pPr>
        <w:numPr>
          <w:ilvl w:val="0"/>
          <w:numId w:val="1005"/>
        </w:numPr>
        <w:pStyle w:val="Compact"/>
      </w:pPr>
      <w:r>
        <w:t xml:space="preserve">hype,</w:t>
      </w:r>
    </w:p>
    <w:p>
      <w:pPr>
        <w:numPr>
          <w:ilvl w:val="0"/>
          <w:numId w:val="1005"/>
        </w:numPr>
        <w:pStyle w:val="Compact"/>
      </w:pPr>
      <w:r>
        <w:t xml:space="preserve">vague transformation language,</w:t>
      </w:r>
    </w:p>
    <w:p>
      <w:pPr>
        <w:numPr>
          <w:ilvl w:val="0"/>
          <w:numId w:val="1005"/>
        </w:numPr>
        <w:pStyle w:val="Compact"/>
      </w:pPr>
      <w:r>
        <w:t xml:space="preserve">dramatic framing,</w:t>
      </w:r>
    </w:p>
    <w:p>
      <w:pPr>
        <w:numPr>
          <w:ilvl w:val="0"/>
          <w:numId w:val="1005"/>
        </w:numPr>
        <w:pStyle w:val="Compact"/>
      </w:pPr>
      <w:r>
        <w:t xml:space="preserve">meta explanations about the curriculum itself,</w:t>
      </w:r>
    </w:p>
    <w:p>
      <w:pPr>
        <w:numPr>
          <w:ilvl w:val="0"/>
          <w:numId w:val="1005"/>
        </w:numPr>
        <w:pStyle w:val="Compact"/>
      </w:pPr>
      <w:r>
        <w:t xml:space="preserve">long intros before the learner reaches the task.</w:t>
      </w:r>
    </w:p>
    <w:bookmarkEnd w:id="32"/>
    <w:bookmarkStart w:id="33" w:name="workshop-feel"/>
    <w:p>
      <w:pPr>
        <w:pStyle w:val="Heading2"/>
      </w:pPr>
      <w:r>
        <w:t xml:space="preserve">Workshop Feel</w:t>
      </w:r>
    </w:p>
    <w:p>
      <w:pPr>
        <w:pStyle w:val="FirstParagraph"/>
      </w:pPr>
      <w:r>
        <w:t xml:space="preserve">The in-person version should feel like a working room:</w:t>
      </w:r>
    </w:p>
    <w:p>
      <w:pPr>
        <w:numPr>
          <w:ilvl w:val="0"/>
          <w:numId w:val="1006"/>
        </w:numPr>
        <w:pStyle w:val="Compact"/>
      </w:pPr>
      <w:r>
        <w:t xml:space="preserve">brief setup,</w:t>
      </w:r>
    </w:p>
    <w:p>
      <w:pPr>
        <w:numPr>
          <w:ilvl w:val="0"/>
          <w:numId w:val="1006"/>
        </w:numPr>
        <w:pStyle w:val="Compact"/>
      </w:pPr>
      <w:r>
        <w:t xml:space="preserve">shared demo,</w:t>
      </w:r>
    </w:p>
    <w:p>
      <w:pPr>
        <w:numPr>
          <w:ilvl w:val="0"/>
          <w:numId w:val="1006"/>
        </w:numPr>
        <w:pStyle w:val="Compact"/>
      </w:pPr>
      <w:r>
        <w:t xml:space="preserve">learner runs the agent,</w:t>
      </w:r>
    </w:p>
    <w:p>
      <w:pPr>
        <w:numPr>
          <w:ilvl w:val="0"/>
          <w:numId w:val="1006"/>
        </w:numPr>
        <w:pStyle w:val="Compact"/>
      </w:pPr>
      <w:r>
        <w:t xml:space="preserve">diff review,</w:t>
      </w:r>
    </w:p>
    <w:p>
      <w:pPr>
        <w:numPr>
          <w:ilvl w:val="0"/>
          <w:numId w:val="1006"/>
        </w:numPr>
        <w:pStyle w:val="Compact"/>
      </w:pPr>
      <w:r>
        <w:t xml:space="preserve">proof command,</w:t>
      </w:r>
    </w:p>
    <w:p>
      <w:pPr>
        <w:numPr>
          <w:ilvl w:val="0"/>
          <w:numId w:val="1006"/>
        </w:numPr>
        <w:pStyle w:val="Compact"/>
      </w:pPr>
      <w:r>
        <w:t xml:space="preserve">next instruction.</w:t>
      </w:r>
    </w:p>
    <w:p>
      <w:pPr>
        <w:pStyle w:val="FirstParagraph"/>
      </w:pPr>
      <w:r>
        <w:t xml:space="preserve">Support that cadence. Make it easy to ask:</w:t>
      </w:r>
    </w:p>
    <w:p>
      <w:pPr>
        <w:numPr>
          <w:ilvl w:val="0"/>
          <w:numId w:val="1007"/>
        </w:numPr>
        <w:pStyle w:val="Compact"/>
      </w:pPr>
      <w:r>
        <w:t xml:space="preserve">What changed?</w:t>
      </w:r>
    </w:p>
    <w:p>
      <w:pPr>
        <w:numPr>
          <w:ilvl w:val="0"/>
          <w:numId w:val="1007"/>
        </w:numPr>
        <w:pStyle w:val="Compact"/>
      </w:pPr>
      <w:r>
        <w:t xml:space="preserve">How did you verify it?</w:t>
      </w:r>
    </w:p>
    <w:p>
      <w:pPr>
        <w:numPr>
          <w:ilvl w:val="0"/>
          <w:numId w:val="1007"/>
        </w:numPr>
        <w:pStyle w:val="Compact"/>
      </w:pPr>
      <w:r>
        <w:t xml:space="preserve">What would you ask the agent next?</w:t>
      </w:r>
    </w:p>
    <w:bookmarkEnd w:id="33"/>
    <w:bookmarkStart w:id="38" w:name="reusable-copy"/>
    <w:p>
      <w:pPr>
        <w:pStyle w:val="Heading2"/>
      </w:pPr>
      <w:r>
        <w:t xml:space="preserve">Reusable Copy</w:t>
      </w:r>
    </w:p>
    <w:bookmarkStart w:id="34" w:name="one-line-description"/>
    <w:p>
      <w:pPr>
        <w:pStyle w:val="Heading3"/>
      </w:pPr>
      <w:r>
        <w:t xml:space="preserve">One-line Description</w:t>
      </w:r>
    </w:p>
    <w:p>
      <w:pPr>
        <w:pStyle w:val="SourceCode"/>
      </w:pPr>
      <w:r>
        <w:rPr>
          <w:rStyle w:val="VerbatimChar"/>
        </w:rPr>
        <w:t xml:space="preserve">A practical agentic engineering curriculum for teams that need to brief, build, review, evaluate, and ship AI-assisted work.</w:t>
      </w:r>
    </w:p>
    <w:bookmarkEnd w:id="34"/>
    <w:bookmarkStart w:id="35" w:name="workshop-description"/>
    <w:p>
      <w:pPr>
        <w:pStyle w:val="Heading3"/>
      </w:pPr>
      <w:r>
        <w:t xml:space="preserve">Workshop Description</w:t>
      </w:r>
    </w:p>
    <w:p>
      <w:pPr>
        <w:pStyle w:val="SourceCode"/>
      </w:pPr>
      <w:r>
        <w:rPr>
          <w:rStyle w:val="VerbatimChar"/>
        </w:rPr>
        <w:t xml:space="preserve">Agentic Engineering Day is an in-person workshop where learners use agents on real projects, review real diffs, run proof commands, and leave with a first-week adoption plan.</w:t>
      </w:r>
    </w:p>
    <w:bookmarkEnd w:id="35"/>
    <w:bookmarkStart w:id="36" w:name="short-cta"/>
    <w:p>
      <w:pPr>
        <w:pStyle w:val="Heading3"/>
      </w:pPr>
      <w:r>
        <w:t xml:space="preserve">Short CTA</w:t>
      </w:r>
    </w:p>
    <w:p>
      <w:pPr>
        <w:pStyle w:val="SourceCode"/>
      </w:pPr>
      <w:r>
        <w:rPr>
          <w:rStyle w:val="VerbatimChar"/>
        </w:rPr>
        <w:t xml:space="preserve">Bring a repo. Build one slice. Leave with proof.</w:t>
      </w:r>
    </w:p>
    <w:bookmarkEnd w:id="36"/>
    <w:bookmarkStart w:id="37" w:name="quality-bar"/>
    <w:p>
      <w:pPr>
        <w:pStyle w:val="Heading3"/>
      </w:pPr>
      <w:r>
        <w:t xml:space="preserve">Quality Bar</w:t>
      </w:r>
    </w:p>
    <w:p>
      <w:pPr>
        <w:pStyle w:val="SourceCode"/>
      </w:pPr>
      <w:r>
        <w:rPr>
          <w:rStyle w:val="VerbatimChar"/>
        </w:rPr>
        <w:t xml:space="preserve">Do not call it done until the diff is read, the check has passed, and the proof is attached.</w:t>
      </w:r>
    </w:p>
    <w:bookmarkEnd w:id="37"/>
    <w:bookmarkEnd w:id="38"/>
    <w:bookmarkStart w:id="39" w:name="brand-checklist"/>
    <w:p>
      <w:pPr>
        <w:pStyle w:val="Heading2"/>
      </w:pPr>
      <w:r>
        <w:t xml:space="preserve">Brand Checklist</w:t>
      </w:r>
    </w:p>
    <w:p>
      <w:pPr>
        <w:pStyle w:val="FirstParagraph"/>
      </w:pPr>
      <w:r>
        <w:t xml:space="preserve">Before publishing a new page, check:</w:t>
      </w:r>
    </w:p>
    <w:p>
      <w:pPr>
        <w:numPr>
          <w:ilvl w:val="0"/>
          <w:numId w:val="1008"/>
        </w:numPr>
        <w:pStyle w:val="Compact"/>
      </w:pPr>
      <w:r>
        <w:t xml:space="preserve">Does the page start with the useful material?</w:t>
      </w:r>
    </w:p>
    <w:p>
      <w:pPr>
        <w:numPr>
          <w:ilvl w:val="0"/>
          <w:numId w:val="1008"/>
        </w:numPr>
        <w:pStyle w:val="Compact"/>
      </w:pPr>
      <w:r>
        <w:t xml:space="preserve">Is the first task or decision visible quickly?</w:t>
      </w:r>
    </w:p>
    <w:p>
      <w:pPr>
        <w:numPr>
          <w:ilvl w:val="0"/>
          <w:numId w:val="1008"/>
        </w:numPr>
        <w:pStyle w:val="Compact"/>
      </w:pPr>
      <w:r>
        <w:t xml:space="preserve">Are commands shown in copyable blocks?</w:t>
      </w:r>
    </w:p>
    <w:p>
      <w:pPr>
        <w:numPr>
          <w:ilvl w:val="0"/>
          <w:numId w:val="1008"/>
        </w:numPr>
        <w:pStyle w:val="Compact"/>
      </w:pPr>
      <w:r>
        <w:t xml:space="preserve">Is the tone calm and specific?</w:t>
      </w:r>
    </w:p>
    <w:p>
      <w:pPr>
        <w:numPr>
          <w:ilvl w:val="0"/>
          <w:numId w:val="1008"/>
        </w:numPr>
        <w:pStyle w:val="Compact"/>
      </w:pPr>
      <w:r>
        <w:t xml:space="preserve">Are there any marketing phrases that can be replaced with proof?</w:t>
      </w:r>
    </w:p>
    <w:p>
      <w:pPr>
        <w:numPr>
          <w:ilvl w:val="0"/>
          <w:numId w:val="1008"/>
        </w:numPr>
        <w:pStyle w:val="Compact"/>
      </w:pPr>
      <w:r>
        <w:t xml:space="preserve">Does the page use blue/slate docs styling, not the old warm palette?</w:t>
      </w:r>
    </w:p>
    <w:p>
      <w:pPr>
        <w:numPr>
          <w:ilvl w:val="0"/>
          <w:numId w:val="1008"/>
        </w:numPr>
        <w:pStyle w:val="Compact"/>
      </w:pPr>
      <w:r>
        <w:t xml:space="preserve">Would a fresh graduate and an experienced engineer both know what to do next?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6FDC4C936CB49BEB0C508378FAF5D" ma:contentTypeVersion="7" ma:contentTypeDescription="Create a new document." ma:contentTypeScope="" ma:versionID="922af24b4b2ab8bcb62c8d123ec71140">
  <xsd:schema xmlns:xsd="http://www.w3.org/2001/XMLSchema" xmlns:xs="http://www.w3.org/2001/XMLSchema" xmlns:p="http://schemas.microsoft.com/office/2006/metadata/properties" xmlns:ns2="6fcd1dd3-5776-4a36-a3e3-072c3ee34f4d" targetNamespace="http://schemas.microsoft.com/office/2006/metadata/properties" ma:root="true" ma:fieldsID="0cca8301624c8d317dff09165ae61bbb" ns2:_="">
    <xsd:import namespace="6fcd1dd3-5776-4a36-a3e3-072c3ee34f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cd1dd3-5776-4a36-a3e3-072c3ee34f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BC4370-4153-4EE1-A8D5-CCC387F52BD3}"/>
</file>

<file path=customXml/itemProps2.xml><?xml version="1.0" encoding="utf-8"?>
<ds:datastoreItem xmlns:ds="http://schemas.openxmlformats.org/officeDocument/2006/customXml" ds:itemID="{61B18419-077B-4933-9A46-505DBC8E947F}"/>
</file>

<file path=customXml/itemProps3.xml><?xml version="1.0" encoding="utf-8"?>
<ds:datastoreItem xmlns:ds="http://schemas.openxmlformats.org/officeDocument/2006/customXml" ds:itemID="{698B7D41-7F5D-4646-9815-944CAD213691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2026-07-13T07:17:33Z</dcterms:created>
  <dcterms:modified xsi:type="dcterms:W3CDTF">2026-07-13T07:17:33Z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0x0101006E46FDC4C936CB49BEB0C508378FAF5D</vt:lpwstr>
  </property>
</Properties>
</file>