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840"/>
        <w:tblW w:w="95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71"/>
        <w:gridCol w:w="4771"/>
      </w:tblGrid>
      <w:tr w:rsidR="007735E2" w:rsidRPr="007735E2" w:rsidTr="00B12DF6">
        <w:trPr>
          <w:trHeight w:val="314"/>
          <w:tblCellSpacing w:w="0" w:type="dxa"/>
        </w:trPr>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B12DF6">
              <w:rPr>
                <w:rFonts w:ascii="Times New Roman" w:eastAsia="Times New Roman" w:hAnsi="Times New Roman" w:cs="Times New Roman"/>
                <w:b/>
                <w:bCs/>
                <w:color w:val="333333"/>
              </w:rPr>
              <w:t>doGet</w:t>
            </w:r>
          </w:p>
        </w:tc>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B12DF6">
              <w:rPr>
                <w:rFonts w:ascii="Times New Roman" w:eastAsia="Times New Roman" w:hAnsi="Times New Roman" w:cs="Times New Roman"/>
                <w:b/>
                <w:bCs/>
                <w:color w:val="333333"/>
              </w:rPr>
              <w:t>doPost</w:t>
            </w:r>
          </w:p>
        </w:tc>
      </w:tr>
      <w:tr w:rsidR="007735E2" w:rsidRPr="007735E2" w:rsidTr="00B12DF6">
        <w:trPr>
          <w:trHeight w:val="606"/>
          <w:tblCellSpacing w:w="0" w:type="dxa"/>
        </w:trPr>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In doGet Method the parameters are appended to the URL and sent along with header information</w:t>
            </w:r>
          </w:p>
        </w:tc>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In doPost, parameters are sent in separate line in the body</w:t>
            </w:r>
          </w:p>
        </w:tc>
      </w:tr>
      <w:tr w:rsidR="007735E2" w:rsidRPr="007735E2" w:rsidTr="00B12DF6">
        <w:trPr>
          <w:trHeight w:val="628"/>
          <w:tblCellSpacing w:w="0" w:type="dxa"/>
        </w:trPr>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Maximum size of</w:t>
            </w:r>
            <w:r w:rsidRPr="00B12DF6">
              <w:rPr>
                <w:rFonts w:ascii="Times New Roman" w:eastAsia="Times New Roman" w:hAnsi="Times New Roman" w:cs="Times New Roman"/>
                <w:color w:val="333333"/>
              </w:rPr>
              <w:t xml:space="preserve"> data that can be sent using doG</w:t>
            </w:r>
            <w:r w:rsidRPr="007735E2">
              <w:rPr>
                <w:rFonts w:ascii="Times New Roman" w:eastAsia="Times New Roman" w:hAnsi="Times New Roman" w:cs="Times New Roman"/>
                <w:color w:val="333333"/>
              </w:rPr>
              <w:t>et is 240 bytes</w:t>
            </w:r>
          </w:p>
        </w:tc>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There is no maximum size for data</w:t>
            </w:r>
          </w:p>
        </w:tc>
      </w:tr>
      <w:tr w:rsidR="007735E2" w:rsidRPr="007735E2" w:rsidTr="00B12DF6">
        <w:trPr>
          <w:trHeight w:val="314"/>
          <w:tblCellSpacing w:w="0" w:type="dxa"/>
        </w:trPr>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Parameters are not encrypted</w:t>
            </w:r>
          </w:p>
        </w:tc>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Parameters are encrypted</w:t>
            </w:r>
          </w:p>
        </w:tc>
      </w:tr>
      <w:tr w:rsidR="007735E2" w:rsidRPr="007735E2" w:rsidTr="00B12DF6">
        <w:trPr>
          <w:trHeight w:val="606"/>
          <w:tblCellSpacing w:w="0" w:type="dxa"/>
        </w:trPr>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 xml:space="preserve">doGet </w:t>
            </w:r>
            <w:r w:rsidRPr="007735E2">
              <w:rPr>
                <w:rFonts w:ascii="Times New Roman" w:eastAsia="Times New Roman" w:hAnsi="Times New Roman" w:cs="Times New Roman"/>
                <w:color w:val="333333"/>
              </w:rPr>
              <w:t>method generally is used to query or to get some information from the server</w:t>
            </w:r>
          </w:p>
        </w:tc>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doPost</w:t>
            </w:r>
            <w:r w:rsidRPr="00B12DF6">
              <w:rPr>
                <w:rFonts w:ascii="Times New Roman" w:eastAsia="Times New Roman" w:hAnsi="Times New Roman" w:cs="Times New Roman"/>
                <w:color w:val="333333"/>
              </w:rPr>
              <w:t xml:space="preserve"> </w:t>
            </w:r>
            <w:r w:rsidRPr="007735E2">
              <w:rPr>
                <w:rFonts w:ascii="Times New Roman" w:eastAsia="Times New Roman" w:hAnsi="Times New Roman" w:cs="Times New Roman"/>
                <w:color w:val="333333"/>
              </w:rPr>
              <w:t>is generally used to update or post some information to the server</w:t>
            </w:r>
          </w:p>
        </w:tc>
      </w:tr>
      <w:tr w:rsidR="007735E2" w:rsidRPr="007735E2" w:rsidTr="00B12DF6">
        <w:trPr>
          <w:trHeight w:val="628"/>
          <w:tblCellSpacing w:w="0" w:type="dxa"/>
        </w:trPr>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 xml:space="preserve">doGet </w:t>
            </w:r>
            <w:r w:rsidRPr="007735E2">
              <w:rPr>
                <w:rFonts w:ascii="Times New Roman" w:eastAsia="Times New Roman" w:hAnsi="Times New Roman" w:cs="Times New Roman"/>
                <w:color w:val="333333"/>
              </w:rPr>
              <w:t>is faster if we set the response content length since the same connection is used. Thus increasing the performance</w:t>
            </w:r>
          </w:p>
        </w:tc>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doPost</w:t>
            </w:r>
            <w:r w:rsidRPr="00B12DF6">
              <w:rPr>
                <w:rFonts w:ascii="Times New Roman" w:eastAsia="Times New Roman" w:hAnsi="Times New Roman" w:cs="Times New Roman"/>
                <w:color w:val="333333"/>
              </w:rPr>
              <w:t xml:space="preserve"> </w:t>
            </w:r>
            <w:r w:rsidRPr="007735E2">
              <w:rPr>
                <w:rFonts w:ascii="Times New Roman" w:eastAsia="Times New Roman" w:hAnsi="Times New Roman" w:cs="Times New Roman"/>
                <w:color w:val="333333"/>
              </w:rPr>
              <w:t>is slower compared to doGet since doPost does not write the content length</w:t>
            </w:r>
          </w:p>
        </w:tc>
      </w:tr>
      <w:tr w:rsidR="007735E2" w:rsidRPr="007735E2" w:rsidTr="00B12DF6">
        <w:trPr>
          <w:trHeight w:val="1234"/>
          <w:tblCellSpacing w:w="0" w:type="dxa"/>
        </w:trPr>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 xml:space="preserve">doGet </w:t>
            </w:r>
            <w:r w:rsidR="00B12DF6" w:rsidRPr="00B12DF6">
              <w:rPr>
                <w:rFonts w:ascii="Times New Roman" w:eastAsia="Times New Roman" w:hAnsi="Times New Roman" w:cs="Times New Roman"/>
                <w:color w:val="333333"/>
              </w:rPr>
              <w:t>should be idempotent. i.e. doG</w:t>
            </w:r>
            <w:r w:rsidRPr="007735E2">
              <w:rPr>
                <w:rFonts w:ascii="Times New Roman" w:eastAsia="Times New Roman" w:hAnsi="Times New Roman" w:cs="Times New Roman"/>
                <w:color w:val="333333"/>
              </w:rPr>
              <w:t>et should be able to be repeated safely many times</w:t>
            </w:r>
          </w:p>
        </w:tc>
        <w:tc>
          <w:tcPr>
            <w:tcW w:w="4771" w:type="dxa"/>
            <w:tcBorders>
              <w:top w:val="outset" w:sz="6" w:space="0" w:color="auto"/>
              <w:left w:val="outset" w:sz="6" w:space="0" w:color="auto"/>
              <w:bottom w:val="outset" w:sz="6" w:space="0" w:color="auto"/>
              <w:right w:val="outset" w:sz="6" w:space="0" w:color="auto"/>
            </w:tcBorders>
            <w:shd w:val="clear" w:color="auto" w:fill="FFFFFF"/>
            <w:hideMark/>
          </w:tcPr>
          <w:p w:rsidR="007735E2" w:rsidRPr="007735E2" w:rsidRDefault="007735E2" w:rsidP="00B12DF6">
            <w:pPr>
              <w:spacing w:after="0" w:line="240" w:lineRule="auto"/>
              <w:rPr>
                <w:rFonts w:ascii="Arial" w:eastAsia="Times New Roman" w:hAnsi="Arial" w:cs="Arial"/>
                <w:color w:val="333333"/>
              </w:rPr>
            </w:pPr>
            <w:r w:rsidRPr="007735E2">
              <w:rPr>
                <w:rFonts w:ascii="Times New Roman" w:eastAsia="Times New Roman" w:hAnsi="Times New Roman" w:cs="Times New Roman"/>
                <w:color w:val="333333"/>
              </w:rPr>
              <w:t>This method does not need to be idempotent. Operations requested through POST can have side effects for which the user can be held accountable, for example, updating stored data or buying items online.</w:t>
            </w:r>
          </w:p>
        </w:tc>
      </w:tr>
    </w:tbl>
    <w:p w:rsidR="00D016E9" w:rsidRPr="00B12DF6" w:rsidRDefault="00B12DF6">
      <w:pPr>
        <w:rPr>
          <w:rFonts w:ascii="Times New Roman" w:hAnsi="Times New Roman" w:cs="Times New Roman"/>
          <w:b/>
          <w:sz w:val="28"/>
          <w:szCs w:val="28"/>
        </w:rPr>
      </w:pPr>
      <w:bookmarkStart w:id="0" w:name="_GoBack"/>
      <w:bookmarkEnd w:id="0"/>
      <w:r w:rsidRPr="00B12DF6">
        <w:rPr>
          <w:rFonts w:ascii="Times New Roman" w:hAnsi="Times New Roman" w:cs="Times New Roman"/>
          <w:b/>
          <w:sz w:val="28"/>
          <w:szCs w:val="28"/>
        </w:rPr>
        <w:t>Difference</w:t>
      </w:r>
      <w:r>
        <w:rPr>
          <w:rFonts w:ascii="Times New Roman" w:hAnsi="Times New Roman" w:cs="Times New Roman"/>
          <w:b/>
          <w:sz w:val="28"/>
          <w:szCs w:val="28"/>
        </w:rPr>
        <w:t>s</w:t>
      </w:r>
      <w:r w:rsidRPr="00B12DF6">
        <w:rPr>
          <w:rFonts w:ascii="Times New Roman" w:hAnsi="Times New Roman" w:cs="Times New Roman"/>
          <w:b/>
          <w:sz w:val="28"/>
          <w:szCs w:val="28"/>
        </w:rPr>
        <w:t xml:space="preserve"> between doGet and doPost :</w:t>
      </w:r>
    </w:p>
    <w:sectPr w:rsidR="00D016E9" w:rsidRPr="00B1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5E2"/>
    <w:rsid w:val="007735E2"/>
    <w:rsid w:val="00A11DD1"/>
    <w:rsid w:val="00B12DF6"/>
    <w:rsid w:val="00B5649A"/>
    <w:rsid w:val="00EE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5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8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3</cp:revision>
  <dcterms:created xsi:type="dcterms:W3CDTF">2017-06-25T12:07:00Z</dcterms:created>
  <dcterms:modified xsi:type="dcterms:W3CDTF">2017-06-25T12:16:00Z</dcterms:modified>
</cp:coreProperties>
</file>