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РОССИЙСКИЙ</w:t>
      </w:r>
      <w:r>
        <w:t xml:space="preserve"> </w:t>
      </w:r>
      <w:r>
        <w:t xml:space="preserve">УНИВЕРСИТЕТ</w:t>
      </w:r>
      <w:r>
        <w:t xml:space="preserve"> </w:t>
      </w:r>
      <w:r>
        <w:t xml:space="preserve">ДРУЖБЫ</w:t>
      </w:r>
      <w:r>
        <w:t xml:space="preserve"> </w:t>
      </w:r>
      <w:r>
        <w:t xml:space="preserve">НАРОДОВ</w:t>
      </w:r>
    </w:p>
    <w:p>
      <w:pPr>
        <w:pStyle w:val="Subtitle"/>
      </w:pPr>
      <w:r>
        <w:t xml:space="preserve">Технология</w:t>
      </w:r>
      <w:r>
        <w:t xml:space="preserve"> </w:t>
      </w:r>
      <w:r>
        <w:t xml:space="preserve">100VG-AnyLAN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Вадимовна,</w:t>
      </w:r>
      <w:r>
        <w:t xml:space="preserve"> </w:t>
      </w:r>
      <w:r>
        <w:t xml:space="preserve">НПИбд-01-24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оглавление"/>
    <w:p>
      <w:pPr>
        <w:pStyle w:val="Heading1"/>
      </w:pPr>
      <w:r>
        <w:t xml:space="preserve">Оглавление</w:t>
      </w:r>
    </w:p>
    <w:p>
      <w:pPr>
        <w:pStyle w:val="FirstParagraph"/>
      </w:pPr>
      <w:hyperlink w:anchor="вводная-часть">
        <w:r>
          <w:rPr>
            <w:rStyle w:val="Hyperlink"/>
          </w:rPr>
          <w:t xml:space="preserve">1. Вводная часть</w:t>
        </w:r>
      </w:hyperlink>
    </w:p>
    <w:p>
      <w:pPr>
        <w:pStyle w:val="BodyText"/>
      </w:pPr>
      <w:hyperlink w:anchor="Xcf9c631168d813ed03c91764d135bcb9816b075">
        <w:r>
          <w:rPr>
            <w:rStyle w:val="Hyperlink"/>
            <w:i/>
            <w:iCs/>
          </w:rPr>
          <w:t xml:space="preserve">1.1.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Актуальность</w:t>
        </w:r>
      </w:hyperlink>
    </w:p>
    <w:p>
      <w:pPr>
        <w:pStyle w:val="BodyText"/>
      </w:pPr>
      <w:hyperlink w:anchor="Xe44b38024fe03c6af59e7a9fb0e465b287f294c">
        <w:r>
          <w:rPr>
            <w:rStyle w:val="Hyperlink"/>
            <w:i/>
            <w:iCs/>
          </w:rPr>
          <w:t xml:space="preserve">1.2.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Объект и предмет исследования</w:t>
        </w:r>
      </w:hyperlink>
    </w:p>
    <w:p>
      <w:pPr>
        <w:pStyle w:val="BodyText"/>
      </w:pPr>
      <w:hyperlink w:anchor="X96b605f6b21f2b9c5fec6e6911f481600e736c8">
        <w:r>
          <w:rPr>
            <w:rStyle w:val="Hyperlink"/>
            <w:i/>
            <w:iCs/>
          </w:rPr>
          <w:t xml:space="preserve">1.3.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Научная новизна</w:t>
        </w:r>
      </w:hyperlink>
    </w:p>
    <w:p>
      <w:pPr>
        <w:pStyle w:val="BodyText"/>
      </w:pPr>
      <w:hyperlink w:anchor="X3f9f71bfbb5bf803c83b8ebf8fc1d7ad40eeb82">
        <w:r>
          <w:rPr>
            <w:rStyle w:val="Hyperlink"/>
            <w:i/>
            <w:iCs/>
          </w:rPr>
          <w:t xml:space="preserve">1.4.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Практическая значимость работы</w:t>
        </w:r>
      </w:hyperlink>
    </w:p>
    <w:p>
      <w:pPr>
        <w:pStyle w:val="BodyText"/>
      </w:pPr>
      <w:hyperlink w:anchor="цель-гипотеза-задачи-и-исследования">
        <w:r>
          <w:rPr>
            <w:rStyle w:val="Hyperlink"/>
          </w:rPr>
          <w:t xml:space="preserve">2. Цель, гипотеза, задачи и исследования</w:t>
        </w:r>
      </w:hyperlink>
    </w:p>
    <w:p>
      <w:pPr>
        <w:pStyle w:val="BodyText"/>
      </w:pPr>
      <w:hyperlink w:anchor="Xa23148cb006ff62d27a3573c9ce7ddcdc33e486">
        <w:r>
          <w:rPr>
            <w:rStyle w:val="Hyperlink"/>
          </w:rPr>
          <w:t xml:space="preserve">3. Материалы и методы и инструменты исследования, теоретическая база</w:t>
        </w:r>
      </w:hyperlink>
    </w:p>
    <w:p>
      <w:pPr>
        <w:pStyle w:val="BodyText"/>
      </w:pPr>
      <w:hyperlink w:anchor="содержание-исследования">
        <w:r>
          <w:rPr>
            <w:rStyle w:val="Hyperlink"/>
          </w:rPr>
          <w:t xml:space="preserve">4. Содержание исследования</w:t>
        </w:r>
      </w:hyperlink>
    </w:p>
    <w:p>
      <w:pPr>
        <w:pStyle w:val="BodyText"/>
      </w:pPr>
      <w:hyperlink w:anchor="Xf3dd1837c4a8df3a764dd713448df64c5e3de80">
        <w:r>
          <w:rPr>
            <w:rStyle w:val="Hyperlink"/>
            <w:i/>
            <w:iCs/>
          </w:rPr>
          <w:t xml:space="preserve">4.1.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Предлагаемое решение задач исследования с обоснованием</w:t>
        </w:r>
      </w:hyperlink>
    </w:p>
    <w:p>
      <w:pPr>
        <w:pStyle w:val="BodyText"/>
      </w:pPr>
      <w:hyperlink w:anchor="X1a6f461badc90c8b17dc8030e0cf1e118387a9a">
        <w:r>
          <w:rPr>
            <w:rStyle w:val="Hyperlink"/>
            <w:i/>
            <w:iCs/>
          </w:rPr>
          <w:t xml:space="preserve">4.2.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Основные этапы работы</w:t>
        </w:r>
      </w:hyperlink>
    </w:p>
    <w:p>
      <w:pPr>
        <w:pStyle w:val="BodyText"/>
      </w:pPr>
      <w:hyperlink w:anchor="Xe671aebeee040b930258adad1ee8ca586b010a1">
        <w:r>
          <w:rPr>
            <w:rStyle w:val="Hyperlink"/>
          </w:rPr>
          <w:t xml:space="preserve">5. Анализ и практическая значимость достигнутых результатов</w:t>
        </w:r>
      </w:hyperlink>
    </w:p>
    <w:p>
      <w:pPr>
        <w:pStyle w:val="BodyText"/>
      </w:pPr>
      <w:hyperlink w:anchor="общее-заключение-и-выводы">
        <w:r>
          <w:rPr>
            <w:rStyle w:val="Hyperlink"/>
          </w:rPr>
          <w:t xml:space="preserve">6. Общее заключение и выводы</w:t>
        </w:r>
      </w:hyperlink>
    </w:p>
    <w:p>
      <w:pPr>
        <w:pStyle w:val="BodyText"/>
      </w:pPr>
      <w:hyperlink w:anchor="Xddd7a5d6df607962ebd5f47bfa012f6941d6ec6">
        <w:r>
          <w:rPr>
            <w:rStyle w:val="Hyperlink"/>
            <w:i/>
            <w:iCs/>
          </w:rPr>
          <w:t xml:space="preserve">6.1.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Список литературы</w:t>
        </w:r>
      </w:hyperlink>
    </w:p>
    <w:bookmarkEnd w:id="20"/>
    <w:bookmarkStart w:id="25" w:name="вводная-част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Вводная часть</w:t>
      </w:r>
    </w:p>
    <w:p>
      <w:pPr>
        <w:pStyle w:val="FirstParagraph"/>
      </w:pPr>
      <w:r>
        <w:t xml:space="preserve">В начале 1990-х годов локальные сети Ethernet со скоростью 10 Мбит/с перестали справляться с нагрузкой: в сетях появились мультимедийные приложения, передача голоса и видео, клиент-серверные системы. Производители предложили несколько вариантов сетей на 100 Мбит/с, и главными конкурентами стали Fast Ethernet и 100VG-AnyLAN</w:t>
      </w:r>
    </w:p>
    <w:p>
      <w:pPr>
        <w:pStyle w:val="BodyText"/>
      </w:pPr>
      <w:r>
        <w:t xml:space="preserve">Технология 100VG-AnyLAN предложила иной подход к доступу к среде: вместо случайного доступа с коллизиями в ней используется детерминированный метод доступа по требованию с приоритетами — Demand Priority.</w:t>
      </w:r>
    </w:p>
    <w:p>
      <w:pPr>
        <w:pStyle w:val="BodyText"/>
      </w:pPr>
      <w:r>
        <w:t xml:space="preserve">1.1.</w:t>
      </w:r>
      <w:r>
        <w:t xml:space="preserve"> </w:t>
      </w:r>
      <w:bookmarkStart w:id="21" w:name="Xcf9c631168d813ed03c91764d135bcb9816b075"/>
      <w:bookmarkEnd w:id="21"/>
      <w:r>
        <w:rPr>
          <w:b/>
          <w:bCs/>
        </w:rPr>
        <w:t xml:space="preserve">Актуальность</w:t>
      </w:r>
    </w:p>
    <w:p>
      <w:pPr>
        <w:pStyle w:val="BodyText"/>
      </w:pPr>
      <w:r>
        <w:t xml:space="preserve">Идеи 100VG-AnyLAN — централизованное управление доступом, передача кадра только на порт получателя, приоритизация трафика — позже были реализованы в коммутируемых сетях Ethernet и механизмах качества обслуживания (QoS). Кроме того, история конкуренции 100VG-AnyLAN и Fast Ethernet показывает, что на выбор технологии влияют не только её характеристики, но и совместимость, стоимость и поддержка производителей. Задача предсказуемой доставки трафика актуальна и сегодня: к ней возвращаются современные стандарты Ethernet для систем реального времени.</w:t>
      </w:r>
    </w:p>
    <w:p>
      <w:pPr>
        <w:pStyle w:val="BodyText"/>
      </w:pPr>
      <w:r>
        <w:t xml:space="preserve">1.2.</w:t>
      </w:r>
      <w:r>
        <w:t xml:space="preserve"> </w:t>
      </w:r>
      <w:bookmarkStart w:id="22" w:name="Xe44b38024fe03c6af59e7a9fb0e465b287f294c"/>
      <w:bookmarkEnd w:id="22"/>
      <w:r>
        <w:rPr>
          <w:b/>
          <w:bCs/>
        </w:rPr>
        <w:t xml:space="preserve">Объект и предмет исследования</w:t>
      </w:r>
    </w:p>
    <w:p>
      <w:pPr>
        <w:pStyle w:val="BodyText"/>
      </w:pPr>
      <w:r>
        <w:t xml:space="preserve">Объект исследования:</w:t>
      </w:r>
      <w:r>
        <w:t xml:space="preserve"> </w:t>
      </w:r>
      <w:r>
        <w:t xml:space="preserve">высокоскоростные локальные сети со скоростью передачи 100 Мбит/с.</w:t>
      </w:r>
    </w:p>
    <w:p>
      <w:pPr>
        <w:pStyle w:val="BodyText"/>
      </w:pPr>
      <w:r>
        <w:t xml:space="preserve">Предмет исследования:</w:t>
      </w:r>
      <w:r>
        <w:t xml:space="preserve"> </w:t>
      </w:r>
      <w:r>
        <w:t xml:space="preserve">технология 100VG-AnyLAN (стандарт IEEE 802.12): архитектура, метод доступа, физический уровень, достоинства и недостатки.</w:t>
      </w:r>
    </w:p>
    <w:p>
      <w:pPr>
        <w:pStyle w:val="BodyText"/>
      </w:pPr>
      <w:r>
        <w:t xml:space="preserve">1.3.</w:t>
      </w:r>
      <w:r>
        <w:t xml:space="preserve"> </w:t>
      </w:r>
      <w:bookmarkStart w:id="23" w:name="X96b605f6b21f2b9c5fec6e6911f481600e736c8"/>
      <w:bookmarkEnd w:id="23"/>
      <w:r>
        <w:rPr>
          <w:b/>
          <w:bCs/>
        </w:rPr>
        <w:t xml:space="preserve">Научная новизна</w:t>
      </w:r>
    </w:p>
    <w:p>
      <w:pPr>
        <w:pStyle w:val="BodyText"/>
      </w:pPr>
      <w:r>
        <w:t xml:space="preserve">Работа не претендует на создание новых технологий. Её новизна — в систематизации сведений о 100VG-AnyLAN, анализе причин её поражения в конкуренции с Fast Ethernet и прослеживании связи её идей с современными сетями.</w:t>
      </w:r>
    </w:p>
    <w:p>
      <w:pPr>
        <w:pStyle w:val="BodyText"/>
      </w:pPr>
      <w:r>
        <w:t xml:space="preserve">1.4.</w:t>
      </w:r>
      <w:r>
        <w:t xml:space="preserve"> </w:t>
      </w:r>
      <w:bookmarkStart w:id="24" w:name="X3f9f71bfbb5bf803c83b8ebf8fc1d7ad40eeb82"/>
      <w:bookmarkEnd w:id="24"/>
      <w:r>
        <w:rPr>
          <w:b/>
          <w:bCs/>
        </w:rPr>
        <w:t xml:space="preserve">Практическая значимость работы</w:t>
      </w:r>
    </w:p>
    <w:p>
      <w:pPr>
        <w:pStyle w:val="BodyText"/>
      </w:pPr>
      <w:r>
        <w:t xml:space="preserve">Материалы работы могут использоваться при изучении курса сетевых технологий: методов доступа к среде, сравнения технологий локальных сетей и истории их развития.</w:t>
      </w:r>
    </w:p>
    <w:bookmarkEnd w:id="25"/>
    <w:bookmarkStart w:id="26" w:name="цель-гипотеза-задачи-и-исследов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Цель, гипотеза, задачи и исследования</w:t>
      </w:r>
    </w:p>
    <w:p>
      <w:pPr>
        <w:pStyle w:val="FirstParagraph"/>
      </w:pPr>
      <w:r>
        <w:t xml:space="preserve">Цель исследования:</w:t>
      </w:r>
      <w:r>
        <w:t xml:space="preserve"> </w:t>
      </w:r>
      <w:r>
        <w:t xml:space="preserve">изучить технологию 100VG-AnyLAN, её принципы работы и место среди технологий локальных сетей.</w:t>
      </w:r>
    </w:p>
    <w:p>
      <w:pPr>
        <w:pStyle w:val="BodyText"/>
      </w:pPr>
      <w:r>
        <w:t xml:space="preserve">Гипотеза:</w:t>
      </w:r>
      <w:r>
        <w:t xml:space="preserve"> </w:t>
      </w:r>
      <w:r>
        <w:t xml:space="preserve">технического превосходства недостаточно для успеха сетевой технологии; решающими оказываются совместимость, стоимость и поддержка производителей.</w:t>
      </w:r>
    </w:p>
    <w:p>
      <w:pPr>
        <w:pStyle w:val="BodyText"/>
      </w:pPr>
      <w:r>
        <w:t xml:space="preserve">Задачи исследования:</w:t>
      </w:r>
    </w:p>
    <w:p>
      <w:pPr>
        <w:pStyle w:val="Compact"/>
        <w:numPr>
          <w:ilvl w:val="0"/>
          <w:numId w:val="1001"/>
        </w:numPr>
      </w:pPr>
      <w:r>
        <w:t xml:space="preserve">Рассмотреть историю появления технологии и её стандартизацию.</w:t>
      </w:r>
    </w:p>
    <w:p>
      <w:pPr>
        <w:pStyle w:val="Compact"/>
        <w:numPr>
          <w:ilvl w:val="0"/>
          <w:numId w:val="1001"/>
        </w:numPr>
      </w:pPr>
      <w:r>
        <w:t xml:space="preserve">Изучить архитектуру сети и роль концентраторов.</w:t>
      </w:r>
    </w:p>
    <w:p>
      <w:pPr>
        <w:pStyle w:val="Compact"/>
        <w:numPr>
          <w:ilvl w:val="0"/>
          <w:numId w:val="1001"/>
        </w:numPr>
      </w:pPr>
      <w:r>
        <w:t xml:space="preserve">Разобрать метод доступа Demand Priority.</w:t>
      </w:r>
    </w:p>
    <w:p>
      <w:pPr>
        <w:pStyle w:val="Compact"/>
        <w:numPr>
          <w:ilvl w:val="0"/>
          <w:numId w:val="1001"/>
        </w:numPr>
      </w:pPr>
      <w:r>
        <w:t xml:space="preserve">Описать физический уровень технологии.</w:t>
      </w:r>
    </w:p>
    <w:p>
      <w:pPr>
        <w:pStyle w:val="Compact"/>
        <w:numPr>
          <w:ilvl w:val="0"/>
          <w:numId w:val="1001"/>
        </w:numPr>
      </w:pPr>
      <w:r>
        <w:t xml:space="preserve">Сравнить 100VG-AnyLAN с Fast Ethernet и выяснить причины, по которым технология не получила распространения.</w:t>
      </w:r>
    </w:p>
    <w:bookmarkEnd w:id="26"/>
    <w:bookmarkStart w:id="27" w:name="Xa23148cb006ff62d27a3573c9ce7ddcdc33e486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Материалы и методы и инструменты исследования, теоретическая база</w:t>
      </w:r>
    </w:p>
    <w:p>
      <w:pPr>
        <w:pStyle w:val="FirstParagraph"/>
      </w:pPr>
      <w:r>
        <w:t xml:space="preserve">Материалы исследования:</w:t>
      </w:r>
      <w:r>
        <w:t xml:space="preserve"> </w:t>
      </w:r>
      <w:r>
        <w:t xml:space="preserve">учебная литература по компьютерным сетям</w:t>
      </w:r>
      <w:r>
        <w:t xml:space="preserve"> </w:t>
      </w:r>
      <w:r>
        <w:t xml:space="preserve">[1,2]</w:t>
      </w:r>
      <w:r>
        <w:t xml:space="preserve"> </w:t>
      </w:r>
      <w:r>
        <w:t xml:space="preserve">и стандарт IEEE 802.12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Методы исследования:</w:t>
      </w:r>
      <w:r>
        <w:t xml:space="preserve"> </w:t>
      </w:r>
      <w:r>
        <w:t xml:space="preserve">анализ литературы и стандарта, сравнительный анализ, систематизация и обобщение.</w:t>
      </w:r>
    </w:p>
    <w:p>
      <w:pPr>
        <w:pStyle w:val="BodyText"/>
      </w:pPr>
      <w:r>
        <w:t xml:space="preserve">Теоретическая база:</w:t>
      </w:r>
      <w:r>
        <w:t xml:space="preserve"> </w:t>
      </w:r>
      <w:r>
        <w:t xml:space="preserve">100VG-AnyLAN работает на физическом и канальном уровнях модели OSI. Ключевое понятие</w:t>
      </w:r>
      <w:r>
        <w:t xml:space="preserve"> </w:t>
      </w:r>
      <w:r>
        <w:t xml:space="preserve">канального уровня — метод доступа к среде (подуровень MAC). Методы доступа делятся на случайные и детерминированные. При случайном методе CSMA/CD, используемом в Ethernet, узел начинает передачу, когда среда свободна; если два узла начали передачу одновременно, возникает коллизия, и передача повторяется через случайное время. При высокой нагрузке коллизий становится много, а время доставки кадра непредсказуемо. При детерминированном методе право на передачу выдаётся по правилу — передачей маркера (Token Ring, FDDI) или опросом (100VG-AnyLAN), поэтому коллизий нет</w:t>
      </w:r>
    </w:p>
    <w:bookmarkEnd w:id="27"/>
    <w:bookmarkStart w:id="31" w:name="содержание-исследован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Содержание исследования</w:t>
      </w:r>
    </w:p>
    <w:p>
      <w:pPr>
        <w:pStyle w:val="FirstParagraph"/>
      </w:pPr>
      <w:r>
        <w:t xml:space="preserve">4.1.</w:t>
      </w:r>
      <w:r>
        <w:t xml:space="preserve"> </w:t>
      </w:r>
      <w:bookmarkStart w:id="28" w:name="Xf3dd1837c4a8df3a764dd713448df64c5e3de80"/>
      <w:bookmarkEnd w:id="28"/>
      <w:r>
        <w:rPr>
          <w:b/>
          <w:bCs/>
        </w:rPr>
        <w:t xml:space="preserve">Предлагаемое решение задач исследования с обоснованием</w:t>
      </w:r>
    </w:p>
    <w:p>
      <w:pPr>
        <w:pStyle w:val="BodyText"/>
      </w:pPr>
      <w:r>
        <w:t xml:space="preserve">Технология рассматривается последовательно: история и архитектура, затем метод доступа на канальном уровне, затем физический уровень. Такой порядок соответствует уровням модели OSI. После этого 100VG-AnyLAN сравнивается с Fast Ethernet по одинаковым критериям, что позволяет проверить гипотезу исследования.</w:t>
      </w:r>
    </w:p>
    <w:p>
      <w:pPr>
        <w:pStyle w:val="BodyText"/>
      </w:pPr>
      <w:r>
        <w:t xml:space="preserve">4.2.</w:t>
      </w:r>
      <w:r>
        <w:t xml:space="preserve"> </w:t>
      </w:r>
      <w:bookmarkStart w:id="29" w:name="X1a6f461badc90c8b17dc8030e0cf1e118387a9a"/>
      <w:bookmarkEnd w:id="29"/>
      <w:r>
        <w:rPr>
          <w:b/>
          <w:bCs/>
        </w:rPr>
        <w:t xml:space="preserve">Основные этапы работы</w:t>
      </w:r>
    </w:p>
    <w:p>
      <w:pPr>
        <w:pStyle w:val="BodyText"/>
      </w:pPr>
      <w:r>
        <w:rPr>
          <w:b/>
          <w:bCs/>
        </w:rPr>
        <w:t xml:space="preserve">Этап 1. История создания и стандартизация</w:t>
      </w:r>
    </w:p>
    <w:p>
      <w:pPr>
        <w:pStyle w:val="BodyText"/>
      </w:pPr>
      <w:r>
        <w:t xml:space="preserve">Технология была разработана компаниями Hewlett-Packard и AT&amp;T в 1993–1994 годах. При обсуждении Ethernet на 100 Мбит/с в комитете IEEE 802.3 группа Hewlett-Packard предложила отказаться от метода CSMA/CD. Большинство поддержало другое предложение — сохранить CSMA/CD и формат кадра, увеличив скорость в 10 раз; оно стало стандартом Fast Ethernet (IEEE 802.3u). Для предложения Hewlett-Packard создали рабочую группу IEEE 802.12, и в 1995 году был принят стандарт IEEE 802.12</w:t>
      </w:r>
    </w:p>
    <w:p>
      <w:pPr>
        <w:pStyle w:val="BodyText"/>
      </w:pPr>
      <w:r>
        <w:t xml:space="preserve">Название отражает главные особенности технологии: 100 — скорость 100 Мбит/с; VG (Voice Grade) — работа по витой паре категории 3, проложенной для телефонии; AnyLAN — поддержка кадров Ethernet и Token Ring.</w:t>
      </w:r>
    </w:p>
    <w:p>
      <w:pPr>
        <w:pStyle w:val="BodyText"/>
      </w:pPr>
      <w:r>
        <w:t xml:space="preserve">Возможность работать по уже проложенному телефонному кабелю была главным коммерческим аргументом разработчиков: организациям не нужно было перекладывать кабельную систему здания. Поддержка двух форматов кадров позволяла перевести на 100 Мбит/с как сети Ethernet, так и сети Token Ring без изменений в драйверах, протоколах и приложениях верхних уровней.</w:t>
      </w:r>
    </w:p>
    <w:p>
      <w:pPr>
        <w:pStyle w:val="BodyText"/>
      </w:pPr>
      <w:r>
        <w:rPr>
          <w:b/>
          <w:bCs/>
        </w:rPr>
        <w:t xml:space="preserve">Этап 2. Архитектура сети</w:t>
      </w:r>
    </w:p>
    <w:p>
      <w:pPr>
        <w:pStyle w:val="BodyText"/>
      </w:pPr>
      <w:r>
        <w:t xml:space="preserve">Сеть имеет топологию «звезда» или «иерархическая звезда». В её центре — концентратор, к портам которого отдельными кабелями подключаются узлы. В отличие от концентратора Ethernet, который повторяет сигнал на все порты, концентратор 100VG-AnyLAN управляет доступом: он решает, какой узел и когда получит право на передачу.</w:t>
      </w:r>
    </w:p>
    <w:p>
      <w:pPr>
        <w:pStyle w:val="BodyText"/>
      </w:pPr>
      <w:r>
        <w:t xml:space="preserve">Концентраторы можно соединять каскадом до трёх уровней; вся иерархия работает как единый сегмент с централизованным управлением. Каждый концентратор настраивается на один формат кадров — Ethernet или Token Ring. Концентратор знает MAC-адреса подключённых узлов и передаёт кадр только на порт получателя, что снижает нагрузку и повышает защищённость сети. Широковещательные кадры, например запросы ARP, концентратор передаёт на все порты, поэтому для протоколов верхних уровней сеть выглядит как обычный сегмент Ethernet или Token Ring.</w:t>
      </w:r>
    </w:p>
    <w:p>
      <w:pPr>
        <w:pStyle w:val="BodyText"/>
      </w:pPr>
      <w:r>
        <w:t xml:space="preserve">Порты концентратора бывают нисходящими — для подключения узлов и концентраторов нижнего уровня, и восходящими — для подключения к концентратору более высокого уровня. Например, в здании с тремя отделами в каждом отделе ставится свой концентратор, к которому подключаются компьютеры сотрудников. Концентраторы отделов подключаются восходящими портами к корневому концентратору в серверной, к которому подключены также серверы и маршрутизатор. Получается двухуровневая иерархическая звезда, в которой корневой концентратор управляет доступом во всей сети.</w:t>
      </w:r>
    </w:p>
    <w:p>
      <w:pPr>
        <w:pStyle w:val="BodyText"/>
      </w:pPr>
      <w:r>
        <w:rPr>
          <w:b/>
          <w:bCs/>
        </w:rPr>
        <w:t xml:space="preserve">Этап 3. Метод доступа Demand Priority</w:t>
      </w:r>
    </w:p>
    <w:p>
      <w:pPr>
        <w:pStyle w:val="BodyText"/>
      </w:pPr>
      <w:r>
        <w:t xml:space="preserve">Метод Demand Priority работает так:</w:t>
      </w:r>
    </w:p>
    <w:p>
      <w:pPr>
        <w:pStyle w:val="Compact"/>
        <w:numPr>
          <w:ilvl w:val="0"/>
          <w:numId w:val="1002"/>
        </w:numPr>
      </w:pPr>
      <w:r>
        <w:t xml:space="preserve">Узел, которому нужно передать кадр, отправляет концентратору запрос с указанием приоритета.</w:t>
      </w:r>
    </w:p>
    <w:p>
      <w:pPr>
        <w:pStyle w:val="Compact"/>
        <w:numPr>
          <w:ilvl w:val="0"/>
          <w:numId w:val="1002"/>
        </w:numPr>
      </w:pPr>
      <w:r>
        <w:t xml:space="preserve">Концентратор циклически опрашивает порты (round-robin) и даёт разрешение одному узлу.</w:t>
      </w:r>
    </w:p>
    <w:p>
      <w:pPr>
        <w:pStyle w:val="Compact"/>
        <w:numPr>
          <w:ilvl w:val="0"/>
          <w:numId w:val="1002"/>
        </w:numPr>
      </w:pPr>
      <w:r>
        <w:t xml:space="preserve">Узел передаёт кадр, концентратор пересылает его на порт получателя и переходит к следующему запросу.</w:t>
      </w:r>
      <w:r>
        <w:t xml:space="preserve"> </w:t>
      </w:r>
      <w:r>
        <w:t xml:space="preserve">Поскольку в каждый момент передаёт только один узел, коллизии невозможны, и канал используется эффективно даже при высокой нагрузке.</w:t>
      </w:r>
    </w:p>
    <w:p>
      <w:pPr>
        <w:pStyle w:val="FirstParagraph"/>
      </w:pPr>
      <w:r>
        <w:t xml:space="preserve">Пока узел ничего не передаёт, между ним и концентратором циркулируют служебные сигналы состояния линии: «свободно», «запрос нормального приоритета», «запрос высокого приоритета», «входящий кадр». Они передаются специальными тоновыми последовательностями в паузах между кадрами. Время, которое в Ethernet тратится на коллизии и повторные передачи, в 100VG-AnyLAN уходит только на короткий обмен этими сигналами.</w:t>
      </w:r>
    </w:p>
    <w:p>
      <w:pPr>
        <w:pStyle w:val="BodyText"/>
      </w:pPr>
      <w:r>
        <w:t xml:space="preserve">Метод поддерживает два уровня приоритета: нормальный — для обычных данных и высокий</w:t>
      </w:r>
      <w:r>
        <w:t xml:space="preserve"> </w:t>
      </w:r>
      <w:r>
        <w:t xml:space="preserve">— для голоса и видео. Сначала обслуживаются запросы высокого приоритета. Чтобы обычный трафик не ждал бесконечно, запрос нормального приоритета, ожидающий дольше заданного времени, автоматически повышается до высокого. Циклический опрос даёт узлам равные права: за цикл каждый передаёт один кадр.</w:t>
      </w:r>
    </w:p>
    <w:p>
      <w:pPr>
        <w:pStyle w:val="BodyText"/>
      </w:pPr>
      <w:r>
        <w:t xml:space="preserve">Пусть к концентратору подключены узлы A, B, C и D. Узлы A и C хотят передать обычные данные, узел D передаёт видеопоток с высоким приоритетом, а узел B ничего не передаёт. Концентратор сначала разрешает передачу узлу D, затем по порядку портов — узлам A и C, а узел B пропускает. Если за это время D снова отправит запрос высокого приоритета, он будет обслужен раньше следующего обычного кадра. Так кадры видео идут с минимальной задержкой, а обычные данные передаются в оставшееся время.</w:t>
      </w:r>
    </w:p>
    <w:p>
      <w:pPr>
        <w:pStyle w:val="BodyText"/>
      </w:pPr>
      <w:r>
        <w:t xml:space="preserve">Приоритет задаётся драйвером узла при формировании запроса, концентратор не анализирует содержимое кадра. Поэтому его работа не зависит от протоколов верхних уровней. В иерархической сети концентратор нижнего уровня, получив разрешение от корневого, проводит собственный цикл опроса, и опрос проходит по всему дереву.</w:t>
      </w:r>
    </w:p>
    <w:p>
      <w:pPr>
        <w:pStyle w:val="BodyText"/>
      </w:pPr>
      <w:r>
        <w:rPr>
          <w:b/>
          <w:bCs/>
        </w:rPr>
        <w:t xml:space="preserve">Этап 4. Физический уровень</w:t>
      </w:r>
    </w:p>
    <w:p>
      <w:pPr>
        <w:pStyle w:val="BodyText"/>
      </w:pPr>
      <w:r>
        <w:t xml:space="preserve">Основная среда передачи — неэкранированная витая пара категории 3, 4 или 5, четыре пары (до 100 м для категории 3, до 150 м для категории 5). Также поддерживаются экранированная витая пара и оптоволокно (до 2 км)</w:t>
      </w:r>
    </w:p>
    <w:p>
      <w:pPr>
        <w:pStyle w:val="BodyText"/>
      </w:pPr>
      <w:r>
        <w:t xml:space="preserve">Кабель категории 3 рассчитан на частоты до 16 МГц, поэтому используется квартетное кодирование: данные передаются одновременно по четырём парам. Поток делится на 5-битовые фрагменты, каждый кодируется 6-битовым кодом 5B/6B и передаётся кодом NRZ. По каждой паре идёт 25 Мбит/с полезных данных, частота сигнала не превышает 15 МГц, а суммарно получается 4 × 25 = 100 Мбит/с. Так как заняты все четыре пары, передача ведётся в полудуплексном режиме.</w:t>
      </w:r>
    </w:p>
    <w:p>
      <w:pPr>
        <w:pStyle w:val="BodyText"/>
      </w:pPr>
      <w:r>
        <w:t xml:space="preserve">Перед кодированием данные проходят скремблирование — перемешивание битов по известному обеим сторонам правилу. Это исключает длинные повторяющиеся последовательности, которые мешают синхронизации приёмника. Код 5B/6B подобран так, чтобы в кодовых словах было поровну нулей и единиц: это облегчает выделение синхросигнала и позволяет обнаруживать ошибки, ведь принятое слово, не входящее в разрешённый набор, означает искажение при передаче.</w:t>
      </w:r>
    </w:p>
    <w:p>
      <w:pPr>
        <w:pStyle w:val="BodyText"/>
      </w:pPr>
      <w:r>
        <w:t xml:space="preserve">При подключении узла выполняется инициализация канала (link training): узел и концентратор обмениваются тренировочными кадрами, проверяется качество кабеля, концентратор узнаёт MAC-адрес узла, согласуется формат кадров и режим работы. Если кабель повреждён или формат не совпадает, порт не включается, и неисправное устройство не мешает работе остальной сети.</w:t>
      </w:r>
    </w:p>
    <w:p>
      <w:pPr>
        <w:pStyle w:val="BodyText"/>
      </w:pPr>
      <w:r>
        <w:rPr>
          <w:b/>
          <w:bCs/>
        </w:rPr>
        <w:t xml:space="preserve">Этап 5. Сравнение с Fast Ethernet</w:t>
      </w:r>
    </w:p>
    <w:p>
      <w:pPr>
        <w:pStyle w:val="BodyText"/>
      </w:pPr>
      <w:r>
        <w:t xml:space="preserve">Основные различия технологий приведены в таблице (табл. 1).</w:t>
      </w:r>
    </w:p>
    <w:bookmarkStart w:id="30" w:name="tbl:compare"/>
    <w:p>
      <w:pPr>
        <w:pStyle w:val="TableCaption"/>
      </w:pPr>
      <w:r>
        <w:t xml:space="preserve">Таблица 1: Сравнение 100VG-AnyLAN и Fast Ethernet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Таблица 1: Сравнение 100VG-AnyLAN и Fast Etherne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100VG-AnyLAN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Ethernet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Стандарт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802.12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802.3u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Метод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CSMA/CD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Коллизии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Возможны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Приоритеты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уровня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(в исходном стандарте)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 кадров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 или Token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Ethernet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Кабель UTP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Кат. 3, 4 пары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Кат. 5, 2 пары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Совместимость с 10BASE-T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через мост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Автосогласование</w:t>
            </w:r>
          </w:p>
        </w:tc>
      </w:tr>
    </w:tbl>
    <w:bookmarkEnd w:id="30"/>
    <w:p>
      <w:pPr>
        <w:pStyle w:val="BodyText"/>
      </w:pPr>
      <w:r>
        <w:t xml:space="preserve">Из таблицы видно, что по большинству технических критериев выигрывает 100VG-AnyLAN, а Fast Ethernet — по совместимости с уже установленным оборудованием и простоте устройств.</w:t>
      </w:r>
    </w:p>
    <w:p>
      <w:pPr>
        <w:pStyle w:val="BodyText"/>
      </w:pPr>
      <w:r>
        <w:t xml:space="preserve">Интересно также сравнить 100VG-AnyLAN с маркерными технологиями, которые тоже используют детерминированный доступ. Token Ring работает на скорости 4 или 16 Мбит/с, поддерживает приоритеты и не имеет коллизий, но значительно медленнее. FDDI работает на 100 Мбит/с по оптоволокну в двойном кольце и отличается высокой отказоустойчивостью, но её оборудование было дорогим. 100VG-AnyLAN заняла промежуточное положение: она сочетала детерминированный доступ маркерных сетей с дешёвой витой парой и звездообразной топологией Ethernet.</w:t>
      </w:r>
    </w:p>
    <w:bookmarkEnd w:id="31"/>
    <w:bookmarkStart w:id="32" w:name="Xe671aebeee040b930258adad1ee8ca586b010a1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Анализ и практическая значимость достигнутых результатов</w:t>
      </w:r>
    </w:p>
    <w:p>
      <w:pPr>
        <w:pStyle w:val="FirstParagraph"/>
      </w:pPr>
      <w:r>
        <w:t xml:space="preserve">Технически 100VG-AnyLAN была продуманнее Fast Ethernet: нет коллизий, предсказуемые задержки, приоритеты, работа по старому кабелю. Однако рынок выбрал Fast Ethernet:</w:t>
      </w:r>
    </w:p>
    <w:p>
      <w:pPr>
        <w:pStyle w:val="Compact"/>
        <w:numPr>
          <w:ilvl w:val="0"/>
          <w:numId w:val="1003"/>
        </w:numPr>
      </w:pPr>
      <w:r>
        <w:t xml:space="preserve">Совместимость: Fast Ethernet сохранил метод доступа и кадр Ethernet, а адаптеры поддерживали 10 и 100 Мбит/с с автосогласованием.</w:t>
      </w:r>
    </w:p>
    <w:p>
      <w:pPr>
        <w:pStyle w:val="Compact"/>
        <w:numPr>
          <w:ilvl w:val="0"/>
          <w:numId w:val="1003"/>
        </w:numPr>
      </w:pPr>
      <w:r>
        <w:t xml:space="preserve">Стоимость: оборудование Fast Ethernet выпускали многие производители, и оно быстро дешевело.</w:t>
      </w:r>
    </w:p>
    <w:p>
      <w:pPr>
        <w:pStyle w:val="Compact"/>
        <w:numPr>
          <w:ilvl w:val="0"/>
          <w:numId w:val="1003"/>
        </w:numPr>
      </w:pPr>
      <w:r>
        <w:t xml:space="preserve">Кабель категории 5 стал массовым, и преимущество работы по категории 3 потеряло значение.</w:t>
      </w:r>
    </w:p>
    <w:p>
      <w:pPr>
        <w:pStyle w:val="Compact"/>
        <w:numPr>
          <w:ilvl w:val="0"/>
          <w:numId w:val="1003"/>
        </w:numPr>
      </w:pPr>
      <w:r>
        <w:t xml:space="preserve">Коммутаторы и полнодуплексный режим устранили коллизии в Ethernet, а позже в нём появились приоритеты кадров.</w:t>
      </w:r>
    </w:p>
    <w:p>
      <w:pPr>
        <w:pStyle w:val="Compact"/>
        <w:numPr>
          <w:ilvl w:val="0"/>
          <w:numId w:val="1003"/>
        </w:numPr>
      </w:pPr>
      <w:r>
        <w:t xml:space="preserve">Ethernet получил развитие (Gigabit Ethernet, 1998 год), а 100VG-AnyLAN — нет.</w:t>
      </w:r>
      <w:r>
        <w:t xml:space="preserve"> </w:t>
      </w:r>
      <w:r>
        <w:t xml:space="preserve">К концу 1990-х годов технология вышла из употребления, что подтверждает гипотезу исследования.</w:t>
      </w:r>
    </w:p>
    <w:p>
      <w:pPr>
        <w:pStyle w:val="FirstParagraph"/>
      </w:pPr>
      <w:r>
        <w:t xml:space="preserve">Достоинства 100VG-AnyLAN: отсутствие коллизий, детерминированный доступ и приоритеты, поддержка кадров Ethernet и Token Ring, работа по кабелю категории 3, передача кадров только получателю.</w:t>
      </w:r>
    </w:p>
    <w:p>
      <w:pPr>
        <w:pStyle w:val="BodyText"/>
      </w:pPr>
      <w:r>
        <w:t xml:space="preserve">Недостатки: несовместимость с методом доступа Ethernet, дорогие и сложные концентраторы, узкий круг производителей, полудуплексный режим, зависимость сети от концентратора.</w:t>
      </w:r>
    </w:p>
    <w:p>
      <w:pPr>
        <w:pStyle w:val="BodyText"/>
      </w:pPr>
      <w:r>
        <w:t xml:space="preserve">Практическая значимость результатов в том, что они показывают, какие факторы определяют судьбу сетевой технологии, и объясняют происхождение решений, применяемых в современных коммутаторах Ethernet.</w:t>
      </w:r>
    </w:p>
    <w:bookmarkEnd w:id="32"/>
    <w:bookmarkStart w:id="33" w:name="общее-заключение-и-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Общее заключение и выводы</w:t>
      </w:r>
    </w:p>
    <w:p>
      <w:pPr>
        <w:pStyle w:val="FirstParagraph"/>
      </w:pPr>
      <w:r>
        <w:t xml:space="preserve">В работе рассмотрена технология 100VG-AnyLAN (IEEE 802.12): история, архитектура, метод доступа Demand Priority, физический уровень, сравнение с Fast Ethernet.</w:t>
      </w:r>
    </w:p>
    <w:p>
      <w:pPr>
        <w:pStyle w:val="BodyText"/>
      </w:pPr>
      <w:r>
        <w:t xml:space="preserve">Выводы:</w:t>
      </w:r>
    </w:p>
    <w:p>
      <w:pPr>
        <w:pStyle w:val="Compact"/>
        <w:numPr>
          <w:ilvl w:val="0"/>
          <w:numId w:val="1004"/>
        </w:numPr>
      </w:pPr>
      <w:r>
        <w:t xml:space="preserve">100VG-AnyLAN создана в 1993–1995 годах как альтернатива Fast Ethernet с детерминированным методом доступа.</w:t>
      </w:r>
    </w:p>
    <w:p>
      <w:pPr>
        <w:pStyle w:val="Compact"/>
        <w:numPr>
          <w:ilvl w:val="0"/>
          <w:numId w:val="1004"/>
        </w:numPr>
      </w:pPr>
      <w:r>
        <w:t xml:space="preserve">Demand Priority исключает коллизии: право на передачу выдаёт концентратор, а два уровня приоритета обеспечивают малую задержку для голоса и видео.</w:t>
      </w:r>
    </w:p>
    <w:p>
      <w:pPr>
        <w:pStyle w:val="Compact"/>
        <w:numPr>
          <w:ilvl w:val="0"/>
          <w:numId w:val="1004"/>
        </w:numPr>
      </w:pPr>
      <w:r>
        <w:t xml:space="preserve">Квартетное кодирование 5B/6B позволило передавать 100 Мбит/с по кабелю категории 3.</w:t>
      </w:r>
    </w:p>
    <w:p>
      <w:pPr>
        <w:pStyle w:val="Compact"/>
        <w:numPr>
          <w:ilvl w:val="0"/>
          <w:numId w:val="1004"/>
        </w:numPr>
      </w:pPr>
      <w:r>
        <w:t xml:space="preserve">Технология проиграла Fast Ethernet из-за несовместимости, стоимости, распространения кабеля категории 5 и появления коммутаторов. Гипотеза подтвердилась.</w:t>
      </w:r>
    </w:p>
    <w:p>
      <w:pPr>
        <w:pStyle w:val="Compact"/>
        <w:numPr>
          <w:ilvl w:val="0"/>
          <w:numId w:val="1004"/>
        </w:numPr>
      </w:pPr>
      <w:r>
        <w:t xml:space="preserve">Идеи 100VG-AnyLAN сохранились в современных коммутируемых сетях Ethernet.</w:t>
      </w:r>
    </w:p>
    <w:bookmarkEnd w:id="33"/>
    <w:bookmarkStart w:id="45" w:name="список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6.1.</w:t>
      </w:r>
      <w:r>
        <w:t xml:space="preserve"> </w:t>
      </w:r>
      <w:bookmarkStart w:id="34" w:name="Xddd7a5d6df607962ebd5f47bfa012f6941d6ec6"/>
      <w:bookmarkEnd w:id="34"/>
      <w:r>
        <w:rPr>
          <w:b/>
          <w:bCs/>
        </w:rPr>
        <w:t xml:space="preserve">Список литературы</w:t>
      </w:r>
    </w:p>
    <w:bookmarkStart w:id="44" w:name="refs"/>
    <w:bookmarkStart w:id="35" w:name="ref-olifer202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Олифер В.Г., Олифер Н.А. Компьютерные сети. Принципы, технологии, протоколы: Юбилейное издание. СПб.: Питер, 2020. С. 1008.</w:t>
      </w:r>
    </w:p>
    <w:bookmarkEnd w:id="35"/>
    <w:bookmarkStart w:id="36" w:name="ref-tanenbaum2012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Таненбаум Э., Уэзеролл Д. Компьютерные сети. 5-е изд. СПб.: Питер, 2012. С. 960.</w:t>
      </w:r>
    </w:p>
    <w:bookmarkEnd w:id="36"/>
    <w:bookmarkStart w:id="37" w:name="ref-ieee80212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IEEE Std 802.12-1995. IEEE Standard for Local and Metropolitan Area Networks: Demand-Priority Access Method, Physical Layer and Repeater Specifications for 100 Mb/s Operation. New York: Institute of Electrical; Electronics Engineers, 1995.</w:t>
      </w:r>
    </w:p>
    <w:bookmarkEnd w:id="37"/>
    <w:bookmarkStart w:id="38" w:name="ref-novikov2000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Новиков Ю.В., Кондратенко С.В. Локальные сети: архитектура, алгоритмы, проектирование. М.: ЭКОМ, 2000. С. 312.</w:t>
      </w:r>
    </w:p>
    <w:bookmarkEnd w:id="38"/>
    <w:bookmarkStart w:id="39" w:name="ref-kulgin1999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Кульгин М. Технологии корпоративных сетей. Энциклопедия. СПб.: Питер, 1999. С. 704.</w:t>
      </w:r>
    </w:p>
    <w:bookmarkEnd w:id="39"/>
    <w:bookmarkStart w:id="41" w:name="ref-ieee8023u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hyperlink r:id="rId40">
        <w:r>
          <w:rPr>
            <w:rStyle w:val="Hyperlink"/>
          </w:rPr>
          <w:t xml:space="preserve">IEEE Std 802.3u-1995. Media Access Control (MAC) Parameters, Physical Layer, Medium Attachment Units, and Repeater for 100 Mb/s Operation, Type 100BASE-T</w:t>
        </w:r>
      </w:hyperlink>
      <w:r>
        <w:t xml:space="preserve">. New York: Institute of Electrical; Electronics Engineers, 1995.</w:t>
      </w:r>
    </w:p>
    <w:bookmarkEnd w:id="41"/>
    <w:bookmarkStart w:id="43" w:name="ref-ieee8021q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hyperlink r:id="rId42">
        <w:r>
          <w:rPr>
            <w:rStyle w:val="Hyperlink"/>
          </w:rPr>
          <w:t xml:space="preserve">IEEE Std 802.1Q-2022. IEEE Standard for Local and Metropolitan Area Networks: Bridges and Bridged Networks</w:t>
        </w:r>
      </w:hyperlink>
      <w:r>
        <w:t xml:space="preserve">. New York: Institute of Electrical; Electronics Engineers, 2022.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1.ieee802.org/maintenance/802-1q-2022-rev/" TargetMode="External" /><Relationship Type="http://schemas.openxmlformats.org/officeDocument/2006/relationships/hyperlink" Id="rId40" Target="https://standards.ieee.org/ieee/802.3u/107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1.ieee802.org/maintenance/802-1q-2022-rev/" TargetMode="External" /><Relationship Type="http://schemas.openxmlformats.org/officeDocument/2006/relationships/hyperlink" Id="rId40" Target="https://standards.ieee.org/ieee/802.3u/107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РОССИЙСКИЙ УНИВЕРСИТЕТ ДРУЖБЫ НАРОДОВ</dc:title>
  <dc:creator>Устинова Виктория Вадимовна, НПИбд-01-24</dc:creator>
  <dc:language>ru-RU</dc:language>
  <cp:keywords/>
  <dcterms:created xsi:type="dcterms:W3CDTF">2026-10-22T15:38:46Z</dcterms:created>
  <dcterms:modified xsi:type="dcterms:W3CDTF">2026-10-22T15:38:46Z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ocite">
    <vt:lpwstr>@*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Технология 100VG-AnyLAN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