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0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Настроить двойной стек адресации IPv4 и IPv6 в локальной сети. В соответствии с таблицей адресации настроить интерфейсы оконечных устройств (PC1, PC2, Server) и маршрутизатора FRR. Проверить связь между устройствами с помощью команд ping и trace. Посмотреть захваченный трафик ARP, ICMP, ICMPv6 на соединении сервера с коммутатором и пояснить извлеченную информацию.</w:t>
      </w:r>
    </w:p>
    <w:bookmarkEnd w:id="21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Технология двойного стека (Dual Stack) позволяет сетевому интерфейсу одновременно иметь как IPv4-, так и IPv6-адрес. Это обеспечивает связь устройства с узлами обеих версий протокола без потери совместимости.</w:t>
      </w:r>
    </w:p>
    <w:p>
      <w:pPr>
        <w:pStyle w:val="BodyText"/>
      </w:pPr>
      <w:r>
        <w:t xml:space="preserve">В IPv6 адрес локальной связи (Link-Local, префикс FE80::/10) генерируется автоматически и используется для служебного обмена внутри сегмента. Глобальные адреса узлам часто назначаются автоматически с помощью сообщений Router Advertisement от маршрутизатора.</w:t>
      </w:r>
    </w:p>
    <w:bookmarkEnd w:id="2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Построить топологию сети с двумя локальными подсетями, маршрутизаторами frr and vyos, коммутаторами, оконечными устройствами и сервером(рис.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рабочей области GNS3 размещены устройства PC1-PC4, server,коммутаторы msk-vvustinova-sw-01..05, маршрутизаторы msk-vvustinova-gw-01 (frr), msk-vvustinova-gw-02 vyos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 рабочей области GNS3 размещены устройства PC1-PC4, server,коммутаторы msk-vvustinova-sw-01..05, маршрутизаторы msk-vvustinova-gw-01 (frr), msk-vvustinova-gw-02 vyos</w:t>
      </w:r>
    </w:p>
    <w:p>
      <w:pPr>
        <w:pStyle w:val="BodyText"/>
      </w:pPr>
      <w:r>
        <w:t xml:space="preserve">Соединить устройства в соответствии с топологией и включить захват трафика на соединении сервера с коммутатором.(рис.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казаны порты соединений (e0, e1, eth0, eth1, eth2). К серверу подключен коммутатор sw-05 через порт e7.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Показаны порты соединений (e0, e1, eth0, eth1, eth2). К серверу подключен коммутатор sw-05 через порт e7.</w:t>
      </w:r>
    </w:p>
    <w:p>
      <w:pPr>
        <w:pStyle w:val="BodyText"/>
      </w:pPr>
      <w:r>
        <w:t xml:space="preserve">Задать IP-адресацию для PC1 и просмотреть конфигурацию IPv4 и IPv6.(рис.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show ip: IP/MASK 172.16.20.10/25, GATEWAY 172.16.20.1. В show ipv6 показан LINK-LOCAL SCOPE fe80::250:79ff:fe66:6800/64.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Выполнена команда show ip: IP/MASK 172.16.20.10/25, GATEWAY 172.16.20.1. В show ipv6 показан LINK-LOCAL SCOPE fe80::250:79ff:fe66:6800/64.</w:t>
      </w:r>
    </w:p>
    <w:p>
      <w:pPr>
        <w:pStyle w:val="BodyText"/>
      </w:pPr>
      <w:r>
        <w:t xml:space="preserve">Задать IPv4-адресацию для PC2 и просмотреть конфигурацию.(рис.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ip 172.16.20.138/25 172.16.20.129, настройки сохранены. show ip показывает IP/MASK 172.16.20.138/25, GATEWAY 172.16.20.129.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Выполнена команда ip 172.16.20.138/25 172.16.20.129, настройки сохранены. show ip показывает IP/MASK 172.16.20.138/25, GATEWAY 172.16.20.129.</w:t>
      </w:r>
    </w:p>
    <w:p>
      <w:pPr>
        <w:pStyle w:val="BodyText"/>
      </w:pPr>
      <w:r>
        <w:t xml:space="preserve">Задать IPv4-адресацию для сервера.(рис.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ip 64.100.1.10/24 64.100.1.1, адрес успешно назначен.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Выполнена команда ip 64.100.1.10/24 64.100.1.1, адрес успешно назначен.</w:t>
      </w:r>
    </w:p>
    <w:p>
      <w:pPr>
        <w:pStyle w:val="BodyText"/>
      </w:pPr>
      <w:r>
        <w:t xml:space="preserve">Настроить IPv4-адресацию на интерфейсах локальной сети маршрутизатора FRR msk-vvustinova-gw-01 согласно таблице.(рис.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дан hostname, интерфейсам eth0, eth1, eth2 назначены адреса 172.16.20.1/25, 172.16.20.129/25 и 64.100.1.1/24 соответственно, выполнены команды no shutdown и write memory.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 hostname, интерфейсам eth0, eth1, eth2 назначены адреса 172.16.20.1/25, 172.16.20.129/25 и 64.100.1.1/24 соответственно, выполнены команды no shutdown и write memory.</w:t>
      </w:r>
    </w:p>
    <w:p>
      <w:pPr>
        <w:pStyle w:val="BodyText"/>
      </w:pPr>
      <w:r>
        <w:t xml:space="preserve">Проверить конфигурацию маршрутизатора и настройки IPv4-адресации.(рис.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show running-config отображает конфигурацию интерфейсов. show interface brief показывает, что eth0, eth1 и eth2 находятся в состоянии up с назначенными адресами." title="" id="42" name="Picture"/>
            <a:graphic>
              <a:graphicData uri="http://schemas.openxmlformats.org/drawingml/2006/picture">
                <pic:pic>
                  <pic:nvPicPr>
                    <pic:cNvPr descr="image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show running-config отображает конфигурацию интерфейсов. show interface brief показывает, что eth0, eth1 и eth2 находятся в состоянии up с назначенными адресами.</w:t>
      </w:r>
    </w:p>
    <w:p>
      <w:pPr>
        <w:pStyle w:val="BodyText"/>
      </w:pPr>
      <w:r>
        <w:t xml:space="preserve">Проверить подключение с помощью команд ping и trace. Узлы PC1 и PC2 должны отправлять эхо-запросы друг другу и на сервер.(рис.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Ping до 64.100.1.10 завершается тайм-аутом. Trace до 172.16.20.138 доходит до узла. Trace до 64.100.1.10 прерывается на 172.16.20.1 с ошибкой Destination host unreachable.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Ping до 64.100.1.10 завершается тайм-аутом. Trace до 172.16.20.138 доходит до узла. Trace до 64.100.1.10 прерывается на 172.16.20.1 с ошибкой Destination host unreachable.</w:t>
      </w:r>
    </w:p>
    <w:p>
      <w:pPr>
        <w:pStyle w:val="BodyText"/>
      </w:pPr>
      <w:r>
        <w:t xml:space="preserve">Проверить связь между PC2, PC1 и сервером.(рис.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Ping до 172.16.20.10 успешно проходит (5 пакетов). Ping до 64.100.1.10 завершается тайм-аутом.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Ping до 172.16.20.10 успешно проходит (5 пакетов). Ping до 64.100.1.10 завершается тайм-аутом.</w:t>
      </w:r>
    </w:p>
    <w:p>
      <w:pPr>
        <w:pStyle w:val="BodyText"/>
      </w:pPr>
      <w:r>
        <w:t xml:space="preserve">Посмотреть захваченный на соединении сервера двойного стека с коммутатором трафик ARP, ICMP, ICMPv6 и пояснить извлеченную информацию.(рис.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Wireshark видны широковещательные ARP-запросы от узла с MAC 0c:4d:27:58:00:02: Who has 64.100.1.10? Tell 64.100.1.1.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Wireshark видны широковещательные ARP-запросы от узла с MAC 0c:4d:27:58:00:02: Who has 64.100.1.10? Tell 64.100.1.1.</w:t>
      </w:r>
    </w:p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 практические навыки по установке и базовому конфигурированию HTTP-сервера Apache. Освоены запуск веб-сервера, анализ логов error_log и access_log, настройка межсетевого экрана и SELinux. Настроен виртуальный хостинг по двум DNS-адресам server.user.net и www.user.net, проверена его работа через браузер клиента. Создан скрипт автоматической установки и настройки HTTP-сервера для Vagrant.</w:t>
      </w:r>
    </w:p>
    <w:bookmarkEnd w:id="54"/>
    <w:bookmarkStart w:id="55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Кулябов Д. С. Адресация IPv4 и IPv6. Двойной стек: лабораторная работа 4. Методические указания к курсу «Сетевые технологии». 2026.</w:t>
      </w:r>
    </w:p>
    <w:p>
      <w:pPr>
        <w:numPr>
          <w:ilvl w:val="0"/>
          <w:numId w:val="1001"/>
        </w:numPr>
      </w:pPr>
      <w:r>
        <w:t xml:space="preserve">Олифер В. Г., Олифер Н. А. Компьютерные сети. Принципы, технологии, протоколы: Юбилейное издание. СПб.: Питер, 2020. 1008 с.</w:t>
      </w:r>
    </w:p>
    <w:p>
      <w:pPr>
        <w:numPr>
          <w:ilvl w:val="0"/>
          <w:numId w:val="1001"/>
        </w:numPr>
      </w:pPr>
      <w:r>
        <w:t xml:space="preserve">Таненбаум Э., Уэзеролл Д. Компьютерные сети. 5-е изд. СПб.: Питер, 2012. 960 с.</w:t>
      </w:r>
      <w:r>
        <w:t xml:space="preserve"> </w:t>
      </w:r>
      <w:r>
        <w:t xml:space="preserve">RFC 1918. Address Allocation for Private Internets [Электронный ресурс]. URL: https://www.rfc-editor.org/rfc/rfc1918 (дата обращения: 24.10.2026).</w:t>
      </w:r>
    </w:p>
    <w:p>
      <w:pPr>
        <w:numPr>
          <w:ilvl w:val="0"/>
          <w:numId w:val="1001"/>
        </w:numPr>
      </w:pPr>
      <w:r>
        <w:t xml:space="preserve">RFC 4291. IP Version 6 Addressing Architecture [Электронный ресурс]. URL: https://www.rfc-editor.org/rfc/rfc4291 (дата обращения: 24.10.2026).</w:t>
      </w:r>
    </w:p>
    <w:p>
      <w:pPr>
        <w:numPr>
          <w:ilvl w:val="0"/>
          <w:numId w:val="1001"/>
        </w:numPr>
      </w:pPr>
      <w:r>
        <w:t xml:space="preserve">RFC 4861. Neighbor Discovery for IP version 6 (IPv6) [Электронный ресурс]. URL: https://www.rfc-editor.org/rfc/rfc4861 (дата обращения: 24.10.2026).</w:t>
      </w:r>
    </w:p>
    <w:p>
      <w:pPr>
        <w:numPr>
          <w:ilvl w:val="0"/>
          <w:numId w:val="1001"/>
        </w:numPr>
      </w:pPr>
      <w:r>
        <w:t xml:space="preserve">RFC 4862. IPv6 Stateless Address Autoconfiguration [Электронный ресурс]. URL: https://www.rfc-editor.org/rfc/rfc4862 (дата обращения: 24.10.2026)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0" Target="media/rId50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Устинова Виктория Вадимовна</dc:creator>
  <dc:language>ru-RU</dc:language>
  <cp:keywords/>
  <dcterms:created xsi:type="dcterms:W3CDTF">2026-10-24T12:23:10Z</dcterms:created>
  <dcterms:modified xsi:type="dcterms:W3CDTF">2026-10-24T12:23:10Z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otice">
    <vt:lpwstr/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дресация IPv4 и IPv6.Двойной стек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