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Лаборатораня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данной работы — изучение принципов технологий Ethernet и Fast Ethernet и практическое освоение методик оценки работоспособности сети, построенной на базе технологии Fast Ethernet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Требуется оценить работоспособность 100-мегабитной сети Fast Ethernet в соответствии с первой и второй моделями.</w:t>
      </w:r>
      <w:r>
        <w:t xml:space="preserve"> </w:t>
      </w:r>
      <w:r>
        <w:t xml:space="preserve">Конфигурации сети приведены в табл. 10.4. Топология сети представлена на рис. 10.4.</w:t>
      </w:r>
    </w:p>
    <w:bookmarkEnd w:id="21"/>
    <w:bookmarkStart w:id="4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Ознакомится с вариантами конфигурации сети Fast Ethernet.Топология сети включает два повторителя класса 2 соединенных между собой и шесть сегментов витой пары(рис. 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Приведена таблица 10.4 с длинами сегментов для шести вариантов и рисунок 10.4 с топологией сети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Приведена таблица 10.4 с длинами сегментов для шести вариантов и рисунок 10.4 с топологией сети</w:t>
      </w:r>
    </w:p>
    <w:p>
      <w:pPr>
        <w:pStyle w:val="BodyText"/>
      </w:pPr>
      <w:r>
        <w:t xml:space="preserve">Использовать значения задержек компонентов сети Fast Ethernet из таблицы 10.2 для расчета времени двойного оборота. Тк категория витой пары не указана принять витую пару категории 5 (рис. 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таблице приведены значения времени двойного оборота для терминалов кабеля и повторителей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 таблице приведены значения времени двойного оборота для терминалов кабеля и повторителей</w:t>
      </w:r>
    </w:p>
    <w:p>
      <w:pPr>
        <w:pStyle w:val="BodyText"/>
      </w:pPr>
      <w:r>
        <w:t xml:space="preserve">Определить наихудший путь — самый длинный путь между двумя узлами домена коллизий. В данной топологии он проходит через сегмент 4 между двумя повторителями и включает три кабельных сегмента и два повторителя класса II.</w:t>
      </w:r>
      <w:r>
        <w:t xml:space="preserve"> </w:t>
      </w:r>
      <w:r>
        <w:t xml:space="preserve">.(рис. 3).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Формула для расчёта: L = max(L1, L2, L3) + L4 + max(L5, L6).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Формула для расчёта: L = max(L1, L2, L3) + L4 + max(L5, L6).</w:t>
      </w:r>
    </w:p>
    <w:p>
      <w:pPr>
        <w:pStyle w:val="BodyText"/>
      </w:pPr>
      <w:r>
        <w:t xml:space="preserve">Проверить работоспособность сети по первой модели. Во всех вариантах длина каждого сегмента не превышает 100 м, поэтому ограничение на длину сегмента выполнено. Результаты расчёта диаметра домена коллизий приведены в таблице 3.(рис. 4).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таблице показаны диаметры для всех вариантов и результаты: варианты 1, 3, 4 — работоспособны; 2, 5, 6 — неработоспособны.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 таблице показаны диаметры для всех вариантов и результаты: варианты 1, 3, 4 — работоспособны; 2, 5, 6 — неработоспособны.</w:t>
      </w:r>
    </w:p>
    <w:p>
      <w:pPr>
        <w:pStyle w:val="BodyText"/>
      </w:pPr>
      <w:r>
        <w:t xml:space="preserve">Проверить работоспособность сети по второй модели. Выполнить подробный расчёт для варианта 1: наихудший путь — сегмент 1 (96 м) — повторитель — сегмент 4 (5 м) — повторитель — сегмент 5 (97 м)(рис. 5).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таблице 4 приведён расчёт времени двойного оборота для варианта 1: итого 508,176 би ≤ 512 би, сеть работоспособна.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 таблице 4 приведён расчёт времени двойного оборота для варианта 1: итого 508,176 би ≤ 512 би, сеть работоспособна.</w:t>
      </w:r>
    </w:p>
    <w:p>
      <w:pPr>
        <w:pStyle w:val="BodyText"/>
      </w:pPr>
      <w:r>
        <w:t xml:space="preserve">Выполнить расчёт времени двойного оборота для всех вариантов по формуле PDV = 100 + 1,112·L + 2·92 + 4 = 288 + 1,112·L, где L — длина наихудшего пути в метрах.(рис. 6).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таблице 5 приведены результаты: варианты 1, 3, 4 — работоспособны; 2, 5, 6 — неработоспособны.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 таблице 5 приведены результаты: варианты 1, 3, 4 — работоспособны; 2, 5, 6 — неработоспособны.</w:t>
      </w:r>
    </w:p>
    <w:p>
      <w:pPr>
        <w:pStyle w:val="BodyText"/>
      </w:pPr>
      <w:r>
        <w:t xml:space="preserve">Свести результаты проверки по первой и второй моделям в итоговую таблицу и сделать вывод о работоспособности сети для каждого варианта.(рис. 7).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таблице 7 показано: варианты 1, 3, 4 — работоспособны; 2, 5, 6 — неработоспособны.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 таблице 7 показано: варианты 1, 3, 4 — работоспособны; 2, 5, 6 — неработоспособны.</w:t>
      </w:r>
    </w:p>
    <w:bookmarkEnd w:id="43"/>
    <w:bookmarkStart w:id="4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были изучены принципы технологий Ethernet и Fast Ethernet и освоены методики оценки работоспособности сети Fast Ethernet по первой и второй моделям. Сети вариантов 1, 3 и 4 работоспособны: диаметр домена коллизий не превышает 205 м, а время двойного оборота не превышает 512 би. Сети вариантов 2, 5 и 6 неработоспособны: диаметр домена коллизий больше 205 метров и время двойного оборота превышает 512 би. Результаты по первой и второй моделям совпали для всех вариантов</w:t>
      </w:r>
    </w:p>
    <w:bookmarkEnd w:id="44"/>
    <w:bookmarkStart w:id="45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существуют разновидности технологии Ethernet и чем они отличаются?</w:t>
      </w:r>
    </w:p>
    <w:p>
      <w:pPr>
        <w:pStyle w:val="FirstParagraph"/>
      </w:pPr>
      <w:r>
        <w:t xml:space="preserve">Ethernet (10 Мбит/с), Fast Ethernet (100 Мбит/с), Gigabit Ethernet (1000 Мбит/с), 10 Gigabit Ethernet. Отличаются скоростью передачи, средой передачи (коаксиал, витая пара, оптоволокно) и стандартами (IEEE 802.3, 802.3u, 802.3z, 802.3ab, 802.3ae, 802.3an).</w:t>
      </w:r>
    </w:p>
    <w:p>
      <w:pPr>
        <w:pStyle w:val="Compact"/>
        <w:numPr>
          <w:ilvl w:val="0"/>
          <w:numId w:val="1002"/>
        </w:numPr>
      </w:pPr>
      <w:r>
        <w:t xml:space="preserve">Что означают элементы в обозначениях 10BASE2, 100BASE-TX?</w:t>
      </w:r>
    </w:p>
    <w:p>
      <w:pPr>
        <w:pStyle w:val="FirstParagraph"/>
      </w:pPr>
      <w:r>
        <w:t xml:space="preserve">Первый элемент — скорость в Мбит/с; BASE — прямая передача без модуляции; третий элемент — длина кабеля в сотнях метров или тип среды (T, TX — витая пара, FX — оптоволокно).</w:t>
      </w:r>
    </w:p>
    <w:p>
      <w:pPr>
        <w:pStyle w:val="Compact"/>
        <w:numPr>
          <w:ilvl w:val="0"/>
          <w:numId w:val="1003"/>
        </w:numPr>
      </w:pPr>
      <w:r>
        <w:t xml:space="preserve">Какие форматы кадров Ethernet существуют?</w:t>
      </w:r>
    </w:p>
    <w:p>
      <w:pPr>
        <w:pStyle w:val="FirstParagraph"/>
      </w:pPr>
      <w:r>
        <w:t xml:space="preserve">DIX (Ethernet II), 802.3/LLC, Raw 802.3, SNAP.</w:t>
      </w:r>
    </w:p>
    <w:p>
      <w:pPr>
        <w:pStyle w:val="Compact"/>
        <w:numPr>
          <w:ilvl w:val="0"/>
          <w:numId w:val="1004"/>
        </w:numPr>
      </w:pPr>
      <w:r>
        <w:t xml:space="preserve">Каков минимальный и максимальный размер кадра Ethernet?</w:t>
      </w:r>
    </w:p>
    <w:p>
      <w:pPr>
        <w:pStyle w:val="FirstParagraph"/>
      </w:pPr>
      <w:r>
        <w:t xml:space="preserve">Минимальный — 64 байта, максимальный — 1518 байт (без учёта VLAN).</w:t>
      </w:r>
    </w:p>
    <w:p>
      <w:pPr>
        <w:pStyle w:val="Compact"/>
        <w:numPr>
          <w:ilvl w:val="0"/>
          <w:numId w:val="1005"/>
        </w:numPr>
      </w:pPr>
      <w:r>
        <w:t xml:space="preserve">Что такое домен коллизий?</w:t>
      </w:r>
    </w:p>
    <w:p>
      <w:pPr>
        <w:pStyle w:val="FirstParagraph"/>
      </w:pPr>
      <w:r>
        <w:t xml:space="preserve">Группа узлов, связанных общей средой передачи.</w:t>
      </w:r>
    </w:p>
    <w:p>
      <w:pPr>
        <w:pStyle w:val="Compact"/>
        <w:numPr>
          <w:ilvl w:val="0"/>
          <w:numId w:val="1006"/>
        </w:numPr>
      </w:pPr>
      <w:r>
        <w:t xml:space="preserve">Что такое диаметр домена коллизий?</w:t>
      </w:r>
    </w:p>
    <w:p>
      <w:pPr>
        <w:pStyle w:val="FirstParagraph"/>
      </w:pPr>
      <w:r>
        <w:t xml:space="preserve">Расстояние между наиболее удалёнными друг от друга оконечными устройствами.</w:t>
      </w:r>
    </w:p>
    <w:p>
      <w:pPr>
        <w:pStyle w:val="Compact"/>
        <w:numPr>
          <w:ilvl w:val="0"/>
          <w:numId w:val="1007"/>
        </w:numPr>
      </w:pPr>
      <w:r>
        <w:t xml:space="preserve">Что такое битовый интервал?</w:t>
      </w:r>
    </w:p>
    <w:p>
      <w:pPr>
        <w:pStyle w:val="FirstParagraph"/>
      </w:pPr>
      <w:r>
        <w:t xml:space="preserve">Время, необходимое для передачи одного бита. В Ethernet — 0,1 мкс, в Fast Ethernet — 0,01 мкс.</w:t>
      </w:r>
    </w:p>
    <w:p>
      <w:pPr>
        <w:pStyle w:val="Compact"/>
        <w:numPr>
          <w:ilvl w:val="0"/>
          <w:numId w:val="1008"/>
        </w:numPr>
      </w:pPr>
      <w:r>
        <w:t xml:space="preserve">Какие классы повторителей существуют?</w:t>
      </w:r>
    </w:p>
    <w:p>
      <w:pPr>
        <w:pStyle w:val="FirstParagraph"/>
      </w:pPr>
      <w:r>
        <w:t xml:space="preserve">Класс I (преобразует сигналы, допускается только один в домене) и класс II (немедленно передаёт сигналы, допускается не более двух).</w:t>
      </w:r>
    </w:p>
    <w:p>
      <w:pPr>
        <w:pStyle w:val="Compact"/>
        <w:numPr>
          <w:ilvl w:val="0"/>
          <w:numId w:val="1009"/>
        </w:numPr>
      </w:pPr>
      <w:r>
        <w:t xml:space="preserve">В чём суть первой модели оценки работоспособности сети Fast Ethernet?</w:t>
      </w:r>
    </w:p>
    <w:p>
      <w:pPr>
        <w:pStyle w:val="FirstParagraph"/>
      </w:pPr>
      <w:r>
        <w:t xml:space="preserve">Набор правил построения сети: длина сегмента витой пары &lt; 100 м, оптоволокна &lt; 412 м, MII &lt; 0,5 м; ограничения на количество повторителей и диаметр домена коллизий.</w:t>
      </w:r>
    </w:p>
    <w:p>
      <w:pPr>
        <w:pStyle w:val="Compact"/>
        <w:numPr>
          <w:ilvl w:val="0"/>
          <w:numId w:val="1010"/>
        </w:numPr>
      </w:pPr>
      <w:r>
        <w:t xml:space="preserve">В чём суть второй модели?</w:t>
      </w:r>
    </w:p>
    <w:p>
      <w:pPr>
        <w:pStyle w:val="FirstParagraph"/>
      </w:pPr>
      <w:r>
        <w:t xml:space="preserve">Расчёт времени двойного оборота для наихудшего пути: суммирование задержек в сегментах, повторителях и терминалах; результат должен не превышать 512 би.</w:t>
      </w:r>
    </w:p>
    <w:p>
      <w:pPr>
        <w:pStyle w:val="Compact"/>
        <w:numPr>
          <w:ilvl w:val="0"/>
          <w:numId w:val="1011"/>
        </w:numPr>
      </w:pPr>
      <w:r>
        <w:t xml:space="preserve">Какие значения задержек используются при расчёте?</w:t>
      </w:r>
    </w:p>
    <w:p>
      <w:pPr>
        <w:pStyle w:val="FirstParagraph"/>
      </w:pPr>
      <w:r>
        <w:t xml:space="preserve">Пара терминалов TX — 100 би; витая пара категории 5 — 1,112 би/м; повторитель класса II — 92 би; страховой запас — 4 би.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Лаборатораня работа №2</dc:title>
  <dc:creator>Устинова Виктория Вадимовна</dc:creator>
  <dc:language>ru-RU</dc:language>
  <cp:keywords/>
  <dcterms:created xsi:type="dcterms:W3CDTF">2026-09-26T12:13:29Z</dcterms:created>
  <dcterms:modified xsi:type="dcterms:W3CDTF">2026-09-26T12:13:29Z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