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по изменению параметров GRUB и записи изменений</w:t>
      </w:r>
      <w:r>
        <w:t xml:space="preserve"> </w:t>
      </w:r>
      <w:r>
        <w:t xml:space="preserve">в файл конфигурации (см. раздел 11.4.1).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устранения неполадок при работе с GRUB (см. раз-</w:t>
      </w:r>
      <w:r>
        <w:t xml:space="preserve"> </w:t>
      </w:r>
      <w:r>
        <w:t xml:space="preserve">дел 11.4.2).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GRUB без использования root (см. раздел 11.4.3).</w:t>
      </w:r>
    </w:p>
    <w:bookmarkEnd w:id="21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файле /etc/default/grub установите параметр отображения меню загрузки в те-</w:t>
      </w:r>
      <w:r>
        <w:t xml:space="preserve"> </w:t>
      </w:r>
      <w:r>
        <w:t xml:space="preserve">чение 10 секунд (рис. 1).</w:t>
      </w:r>
    </w:p>
    <w:p>
      <w:pPr>
        <w:pStyle w:val="CaptionedFigure"/>
      </w:pPr>
      <w:r>
        <w:drawing>
          <wp:inline>
            <wp:extent cx="3733800" cy="1177272"/>
            <wp:effectExtent b="0" l="0" r="0" t="0"/>
            <wp:docPr descr="Заходим в файл через редактор nano и меняем 5 на 10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Заходим в файл через редактор nano и меняем 5 на 10</w:t>
      </w:r>
    </w:p>
    <w:p>
      <w:pPr>
        <w:pStyle w:val="BodyText"/>
      </w:pPr>
      <w:r>
        <w:t xml:space="preserve">Запишите изменения в GRUB2(рис. 2).</w:t>
      </w:r>
    </w:p>
    <w:p>
      <w:pPr>
        <w:pStyle w:val="CaptionedFigure"/>
      </w:pPr>
      <w:r>
        <w:drawing>
          <wp:inline>
            <wp:extent cx="3733800" cy="2024549"/>
            <wp:effectExtent b="0" l="0" r="0" t="0"/>
            <wp:docPr descr="Изменения записаны, и при входе 5 секунд изменилось на 10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4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Изменения записаны, и при входе 5 секунд изменилось на 10</w:t>
      </w:r>
    </w:p>
    <w:p>
      <w:pPr>
        <w:pStyle w:val="BodyText"/>
      </w:pPr>
      <w:r>
        <w:t xml:space="preserve">Прокрутите вниз до строки, начинающейся с linux ($root)/vmlinuz-. Эта строка загружает ядро системы. В конце этой строки введите(рис. 3).</w:t>
      </w:r>
    </w:p>
    <w:p>
      <w:pPr>
        <w:pStyle w:val="CaptionedFigure"/>
      </w:pPr>
      <w:r>
        <w:drawing>
          <wp:inline>
            <wp:extent cx="3733800" cy="1630915"/>
            <wp:effectExtent b="0" l="0" r="0" t="0"/>
            <wp:docPr descr="Убираем rhgb и quit и пишем systemd.unit=rescue.target и нажимаем ctrl x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0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Убираем rhgb и quit и пишем systemd.unit=rescue.target и нажимаем ctrl x</w:t>
      </w:r>
    </w:p>
    <w:p>
      <w:pPr>
        <w:pStyle w:val="BodyText"/>
      </w:pPr>
      <w:r>
        <w:t xml:space="preserve">Посмотрите список всех файлов модулей, которые загружены в настоящее время(рис. 4).</w:t>
      </w:r>
    </w:p>
    <w:p>
      <w:pPr>
        <w:pStyle w:val="CaptionedFigure"/>
      </w:pPr>
      <w:r>
        <w:drawing>
          <wp:inline>
            <wp:extent cx="3733800" cy="2218879"/>
            <wp:effectExtent b="0" l="0" r="0" t="0"/>
            <wp:docPr descr="72 модуля загружены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8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72 модуля загружены</w:t>
      </w:r>
    </w:p>
    <w:p>
      <w:pPr>
        <w:pStyle w:val="BodyText"/>
      </w:pPr>
      <w:r>
        <w:t xml:space="preserve">Посмотрите задействованные переменные среды оболочки:(рис. 5).</w:t>
      </w:r>
    </w:p>
    <w:p>
      <w:pPr>
        <w:pStyle w:val="CaptionedFigure"/>
      </w:pPr>
      <w:r>
        <w:drawing>
          <wp:inline>
            <wp:extent cx="3733800" cy="590422"/>
            <wp:effectExtent b="0" l="0" r="0" t="0"/>
            <wp:docPr descr="Cмотрим вывод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0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Cмотрим вывод</w:t>
      </w:r>
    </w:p>
    <w:p>
      <w:pPr>
        <w:pStyle w:val="BodyText"/>
      </w:pPr>
      <w:r>
        <w:t xml:space="preserve">Как только отобразится меню GRUB, ещё раз нажмите e на строке с текущей версией ядра, чтобы войти в режим редактора. В конце строки, загружающей ядро, введите(рис. 6).</w:t>
      </w:r>
    </w:p>
    <w:p>
      <w:pPr>
        <w:pStyle w:val="CaptionedFigure"/>
      </w:pPr>
      <w:r>
        <w:drawing>
          <wp:inline>
            <wp:extent cx="3733800" cy="1055093"/>
            <wp:effectExtent b="0" l="0" r="0" t="0"/>
            <wp:docPr descr="Убираем rhgb и quit и пишем команду, после этого снова смотрим systemctl list-units и там уже 53 и перезапускаем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5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Убираем rhgb и quit и пишем команду, после этого снова смотрим systemctl list-units и там уже 53 и перезапускаем</w:t>
      </w:r>
    </w:p>
    <w:p>
      <w:pPr>
        <w:pStyle w:val="BodyText"/>
      </w:pPr>
      <w:r>
        <w:t xml:space="preserve">В конце строки, загружающей ядро, введите</w:t>
      </w:r>
      <w:r>
        <w:t xml:space="preserve"> </w:t>
      </w:r>
      <w:r>
        <w:t xml:space="preserve">rd.break(рис. 7).</w:t>
      </w:r>
    </w:p>
    <w:p>
      <w:pPr>
        <w:pStyle w:val="CaptionedFigure"/>
      </w:pPr>
      <w:r>
        <w:drawing>
          <wp:inline>
            <wp:extent cx="3733800" cy="1135034"/>
            <wp:effectExtent b="0" l="0" r="0" t="0"/>
            <wp:docPr descr="Убираем rhgb и quit и пишем команду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Убираем rhgb и quit и пишем команду</w:t>
      </w:r>
    </w:p>
    <w:p>
      <w:pPr>
        <w:pStyle w:val="BodyText"/>
      </w:pPr>
      <w:r>
        <w:t xml:space="preserve">Чтобы получить доступ к системному образу для чтения и записи, сделайте содержимое каталога /sysimage новым корневым каталогом, теперь вы можете ввести команду задания пароля(рис. 8).</w:t>
      </w:r>
    </w:p>
    <w:p>
      <w:pPr>
        <w:pStyle w:val="CaptionedFigure"/>
      </w:pPr>
      <w:r>
        <w:drawing>
          <wp:inline>
            <wp:extent cx="3733800" cy="920142"/>
            <wp:effectExtent b="0" l="0" r="0" t="0"/>
            <wp:docPr descr="Мы выполняем команды и меняем пароль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0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Мы выполняем команды и меняем пароль</w:t>
      </w:r>
    </w:p>
    <w:p>
      <w:pPr>
        <w:pStyle w:val="BodyText"/>
      </w:pPr>
      <w:r>
        <w:t xml:space="preserve">Вы должны убедиться, что тип контекста установлен правильно, Теперь вы можете вручную установить правильный тип контекста для /etc/shadow. Для этого введите chcon -t shadow_t /etc/shadow(рис. 9).</w:t>
      </w:r>
    </w:p>
    <w:p>
      <w:pPr>
        <w:pStyle w:val="CaptionedFigure"/>
      </w:pPr>
      <w:r>
        <w:drawing>
          <wp:inline>
            <wp:extent cx="3733800" cy="875722"/>
            <wp:effectExtent b="0" l="0" r="0" t="0"/>
            <wp:docPr descr="Мы выполняем команды, перезагружаем систему и проверяем смену пароля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5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Мы выполняем команды, перезагружаем систему и проверяем смену пароля</w:t>
      </w:r>
    </w:p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успешно получили навыки работы с загрузчиком системы GRUB2.</w:t>
      </w:r>
    </w:p>
    <w:bookmarkEnd w:id="50"/>
    <w:bookmarkStart w:id="5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Файл для общих изменений: /etc/default/grub — в нём задают GRUB_TIMEOUT, GRUB_DEFAULT, GRUB_CMDLINE_LINUX и т.п.</w:t>
      </w:r>
    </w:p>
    <w:p>
      <w:pPr>
        <w:pStyle w:val="Compact"/>
        <w:numPr>
          <w:ilvl w:val="0"/>
          <w:numId w:val="1002"/>
        </w:numPr>
      </w:pPr>
      <w:r>
        <w:t xml:space="preserve">Итоговый конфигурационный файл GRUB2: /boot/grub/grub.cfg (в некоторых дистрибутивах /boot/grub2/grub.cfg, на UEFI — может быть в EFI‑разделе); его генерируют скрипты из /etc/grub.d/, редактировать вручную не рекомендуется.</w:t>
      </w:r>
    </w:p>
    <w:p>
      <w:pPr>
        <w:pStyle w:val="Compact"/>
        <w:numPr>
          <w:ilvl w:val="0"/>
          <w:numId w:val="1002"/>
        </w:numPr>
      </w:pPr>
      <w:r>
        <w:t xml:space="preserve">Команда для применения изменений: после правки выполнить sudo grub-mkconfig -o /boot/grub/grub.cfg (в Debian/Ubuntu можно использовать sudo update-grub).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Устинова Виктория Вадимовна</dc:creator>
  <dc:language>ru-RU</dc:language>
  <cp:keywords/>
  <dcterms:created xsi:type="dcterms:W3CDTF">2025-11-14T15:40:56Z</dcterms:created>
  <dcterms:modified xsi:type="dcterms:W3CDTF">2025-11-14T15:40:56Z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