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Calibri" w:hAnsi="Calibri"/>
          <w:b/>
          <w:color w:val="E50914"/>
          <w:sz w:val="26"/>
        </w:rPr>
        <w:t>YUVA INTERNSHIP PROGRAM — WEEK 2 DELIVERABLE</w:t>
      </w:r>
    </w:p>
    <w:p>
      <w:pPr>
        <w:spacing w:before="400" w:after="200"/>
        <w:jc w:val="center"/>
      </w:pPr>
      <w:r>
        <w:rPr>
          <w:rFonts w:ascii="Calibri" w:hAnsi="Calibri"/>
          <w:b/>
          <w:color w:val="1A5276"/>
          <w:sz w:val="52"/>
        </w:rPr>
        <w:t>Exploratory Data Analysis and Visualization on the Netflix Catalog</w:t>
      </w:r>
    </w:p>
    <w:p>
      <w:pPr>
        <w:spacing w:after="800"/>
        <w:jc w:val="center"/>
      </w:pPr>
      <w:r>
        <w:rPr>
          <w:rFonts w:ascii="Calibri" w:hAnsi="Calibri"/>
          <w:i/>
          <w:color w:val="333333"/>
          <w:sz w:val="26"/>
        </w:rPr>
        <w:t>Comprehensive Technical Report on Catalog Trends, Global Distribution, Genre Patterns, Duration Metrics, and Statistical Hypothesis Testing</w:t>
      </w:r>
    </w:p>
    <w:tbl>
      <w:tblPr>
        <w:tblW w:type="auto" w:w="0"/>
        <w:jc w:val="center"/>
        <w:tblLook w:firstColumn="1" w:firstRow="1" w:lastColumn="0" w:lastRow="0" w:noHBand="0" w:noVBand="1" w:val="04A0"/>
      </w:tblPr>
      <w:tblGrid>
        <w:gridCol w:w="4680"/>
        <w:gridCol w:w="4680"/>
      </w:tblGrid>
      <w:tr>
        <w:tc>
          <w:tcPr>
            <w:tcW w:type="dxa" w:w="3600"/>
            <w:shd w:fill="1A5276"/>
            <w:tcMar>
              <w:top w:w="100" w:type="dxa"/>
              <w:bottom w:w="100" w:type="dxa"/>
              <w:left w:w="120" w:type="dxa"/>
              <w:right w:w="120" w:type="dxa"/>
            </w:tcMar>
          </w:tcPr>
          <w:p>
            <w:pPr>
              <w:jc w:val="center"/>
            </w:pPr>
            <w:r>
              <w:rPr>
                <w:rFonts w:ascii="Calibri" w:hAnsi="Calibri"/>
                <w:b/>
                <w:color w:val="FFFFFF"/>
                <w:sz w:val="20"/>
              </w:rPr>
              <w:t>Metadata Field</w:t>
            </w:r>
          </w:p>
        </w:tc>
        <w:tc>
          <w:tcPr>
            <w:tcW w:type="dxa" w:w="5760"/>
            <w:shd w:fill="1A5276"/>
            <w:tcMar>
              <w:top w:w="100" w:type="dxa"/>
              <w:bottom w:w="100" w:type="dxa"/>
              <w:left w:w="120" w:type="dxa"/>
              <w:right w:w="120" w:type="dxa"/>
            </w:tcMar>
          </w:tcPr>
          <w:p>
            <w:pPr>
              <w:jc w:val="center"/>
            </w:pPr>
            <w:r>
              <w:rPr>
                <w:rFonts w:ascii="Calibri" w:hAnsi="Calibri"/>
                <w:b/>
                <w:color w:val="FFFFFF"/>
                <w:sz w:val="20"/>
              </w:rPr>
              <w:t>Details</w:t>
            </w:r>
          </w:p>
        </w:tc>
      </w:tr>
      <w:tr>
        <w:tc>
          <w:tcPr>
            <w:tcW w:type="dxa" w:w="3600"/>
            <w:shd w:fill="FFFFFF"/>
            <w:tcMar>
              <w:top w:w="80" w:type="dxa"/>
              <w:bottom w:w="80" w:type="dxa"/>
              <w:left w:w="120" w:type="dxa"/>
              <w:right w:w="120" w:type="dxa"/>
            </w:tcMar>
          </w:tcPr>
          <w:p>
            <w:pPr>
              <w:jc w:val="left"/>
            </w:pPr>
            <w:r>
              <w:rPr>
                <w:rFonts w:ascii="Calibri" w:hAnsi="Calibri"/>
                <w:color w:val="333333"/>
                <w:sz w:val="19"/>
              </w:rPr>
              <w:t>Student Name</w:t>
            </w:r>
          </w:p>
        </w:tc>
        <w:tc>
          <w:tcPr>
            <w:tcW w:type="dxa" w:w="5760"/>
            <w:shd w:fill="FFFFFF"/>
            <w:tcMar>
              <w:top w:w="80" w:type="dxa"/>
              <w:bottom w:w="80" w:type="dxa"/>
              <w:left w:w="120" w:type="dxa"/>
              <w:right w:w="120" w:type="dxa"/>
            </w:tcMar>
          </w:tcPr>
          <w:p>
            <w:pPr>
              <w:jc w:val="center"/>
            </w:pPr>
            <w:r>
              <w:rPr>
                <w:rFonts w:ascii="Calibri" w:hAnsi="Calibri"/>
                <w:color w:val="333333"/>
                <w:sz w:val="19"/>
              </w:rPr>
              <w:t>Vikhyath Bharadwaj K S</w:t>
            </w:r>
          </w:p>
        </w:tc>
      </w:tr>
      <w:tr>
        <w:tc>
          <w:tcPr>
            <w:tcW w:type="dxa" w:w="3600"/>
            <w:shd w:fill="F9FAFC"/>
            <w:tcMar>
              <w:top w:w="80" w:type="dxa"/>
              <w:bottom w:w="80" w:type="dxa"/>
              <w:left w:w="120" w:type="dxa"/>
              <w:right w:w="120" w:type="dxa"/>
            </w:tcMar>
          </w:tcPr>
          <w:p>
            <w:pPr>
              <w:jc w:val="left"/>
            </w:pPr>
            <w:r>
              <w:rPr>
                <w:rFonts w:ascii="Calibri" w:hAnsi="Calibri"/>
                <w:color w:val="333333"/>
                <w:sz w:val="19"/>
              </w:rPr>
              <w:t>Internship Track</w:t>
            </w:r>
          </w:p>
        </w:tc>
        <w:tc>
          <w:tcPr>
            <w:tcW w:type="dxa" w:w="5760"/>
            <w:shd w:fill="F9FAFC"/>
            <w:tcMar>
              <w:top w:w="80" w:type="dxa"/>
              <w:bottom w:w="80" w:type="dxa"/>
              <w:left w:w="120" w:type="dxa"/>
              <w:right w:w="120" w:type="dxa"/>
            </w:tcMar>
          </w:tcPr>
          <w:p>
            <w:pPr>
              <w:jc w:val="center"/>
            </w:pPr>
            <w:r>
              <w:rPr>
                <w:rFonts w:ascii="Calibri" w:hAnsi="Calibri"/>
                <w:color w:val="333333"/>
                <w:sz w:val="19"/>
              </w:rPr>
              <w:t>Data Analytics &amp; Data Visualization (Yuva Internship)</w:t>
            </w:r>
          </w:p>
        </w:tc>
      </w:tr>
      <w:tr>
        <w:tc>
          <w:tcPr>
            <w:tcW w:type="dxa" w:w="3600"/>
            <w:shd w:fill="FFFFFF"/>
            <w:tcMar>
              <w:top w:w="80" w:type="dxa"/>
              <w:bottom w:w="80" w:type="dxa"/>
              <w:left w:w="120" w:type="dxa"/>
              <w:right w:w="120" w:type="dxa"/>
            </w:tcMar>
          </w:tcPr>
          <w:p>
            <w:pPr>
              <w:jc w:val="left"/>
            </w:pPr>
            <w:r>
              <w:rPr>
                <w:rFonts w:ascii="Calibri" w:hAnsi="Calibri"/>
                <w:color w:val="333333"/>
                <w:sz w:val="19"/>
              </w:rPr>
              <w:t>Project Title</w:t>
            </w:r>
          </w:p>
        </w:tc>
        <w:tc>
          <w:tcPr>
            <w:tcW w:type="dxa" w:w="5760"/>
            <w:shd w:fill="FFFFFF"/>
            <w:tcMar>
              <w:top w:w="80" w:type="dxa"/>
              <w:bottom w:w="80" w:type="dxa"/>
              <w:left w:w="120" w:type="dxa"/>
              <w:right w:w="120" w:type="dxa"/>
            </w:tcMar>
          </w:tcPr>
          <w:p>
            <w:pPr>
              <w:jc w:val="center"/>
            </w:pPr>
            <w:r>
              <w:rPr>
                <w:rFonts w:ascii="Calibri" w:hAnsi="Calibri"/>
                <w:color w:val="333333"/>
                <w:sz w:val="19"/>
              </w:rPr>
              <w:t>Netflix Movies and TV Shows — EDA &amp; Visualization</w:t>
            </w:r>
          </w:p>
        </w:tc>
      </w:tr>
      <w:tr>
        <w:tc>
          <w:tcPr>
            <w:tcW w:type="dxa" w:w="3600"/>
            <w:shd w:fill="F9FAFC"/>
            <w:tcMar>
              <w:top w:w="80" w:type="dxa"/>
              <w:bottom w:w="80" w:type="dxa"/>
              <w:left w:w="120" w:type="dxa"/>
              <w:right w:w="120" w:type="dxa"/>
            </w:tcMar>
          </w:tcPr>
          <w:p>
            <w:pPr>
              <w:jc w:val="left"/>
            </w:pPr>
            <w:r>
              <w:rPr>
                <w:rFonts w:ascii="Calibri" w:hAnsi="Calibri"/>
                <w:color w:val="333333"/>
                <w:sz w:val="19"/>
              </w:rPr>
              <w:t>Dataset Source</w:t>
            </w:r>
          </w:p>
        </w:tc>
        <w:tc>
          <w:tcPr>
            <w:tcW w:type="dxa" w:w="5760"/>
            <w:shd w:fill="F9FAFC"/>
            <w:tcMar>
              <w:top w:w="80" w:type="dxa"/>
              <w:bottom w:w="80" w:type="dxa"/>
              <w:left w:w="120" w:type="dxa"/>
              <w:right w:w="120" w:type="dxa"/>
            </w:tcMar>
          </w:tcPr>
          <w:p>
            <w:pPr>
              <w:jc w:val="center"/>
            </w:pPr>
            <w:r>
              <w:rPr>
                <w:rFonts w:ascii="Calibri" w:hAnsi="Calibri"/>
                <w:color w:val="333333"/>
                <w:sz w:val="19"/>
              </w:rPr>
              <w:t>Netflix Movies and TV Shows by Shivam Bansal (Kaggle)</w:t>
            </w:r>
          </w:p>
        </w:tc>
      </w:tr>
      <w:tr>
        <w:tc>
          <w:tcPr>
            <w:tcW w:type="dxa" w:w="3600"/>
            <w:shd w:fill="FFFFFF"/>
            <w:tcMar>
              <w:top w:w="80" w:type="dxa"/>
              <w:bottom w:w="80" w:type="dxa"/>
              <w:left w:w="120" w:type="dxa"/>
              <w:right w:w="120" w:type="dxa"/>
            </w:tcMar>
          </w:tcPr>
          <w:p>
            <w:pPr>
              <w:jc w:val="left"/>
            </w:pPr>
            <w:r>
              <w:rPr>
                <w:rFonts w:ascii="Calibri" w:hAnsi="Calibri"/>
                <w:color w:val="333333"/>
                <w:sz w:val="19"/>
              </w:rPr>
              <w:t>Dataset Records Analyzed</w:t>
            </w:r>
          </w:p>
        </w:tc>
        <w:tc>
          <w:tcPr>
            <w:tcW w:type="dxa" w:w="5760"/>
            <w:shd w:fill="FFFFFF"/>
            <w:tcMar>
              <w:top w:w="80" w:type="dxa"/>
              <w:bottom w:w="80" w:type="dxa"/>
              <w:left w:w="120" w:type="dxa"/>
              <w:right w:w="120" w:type="dxa"/>
            </w:tcMar>
          </w:tcPr>
          <w:p>
            <w:pPr>
              <w:jc w:val="center"/>
            </w:pPr>
            <w:r>
              <w:rPr>
                <w:rFonts w:ascii="Calibri" w:hAnsi="Calibri"/>
                <w:color w:val="333333"/>
                <w:sz w:val="19"/>
              </w:rPr>
              <w:t>7,787 Title Records (5,377 Movies, 2,410 TV Shows)</w:t>
            </w:r>
          </w:p>
        </w:tc>
      </w:tr>
      <w:tr>
        <w:tc>
          <w:tcPr>
            <w:tcW w:type="dxa" w:w="3600"/>
            <w:shd w:fill="F9FAFC"/>
            <w:tcMar>
              <w:top w:w="80" w:type="dxa"/>
              <w:bottom w:w="80" w:type="dxa"/>
              <w:left w:w="120" w:type="dxa"/>
              <w:right w:w="120" w:type="dxa"/>
            </w:tcMar>
          </w:tcPr>
          <w:p>
            <w:pPr>
              <w:jc w:val="left"/>
            </w:pPr>
            <w:r>
              <w:rPr>
                <w:rFonts w:ascii="Calibri" w:hAnsi="Calibri"/>
                <w:color w:val="333333"/>
                <w:sz w:val="19"/>
              </w:rPr>
              <w:t>Programming Environment</w:t>
            </w:r>
          </w:p>
        </w:tc>
        <w:tc>
          <w:tcPr>
            <w:tcW w:type="dxa" w:w="5760"/>
            <w:shd w:fill="F9FAFC"/>
            <w:tcMar>
              <w:top w:w="80" w:type="dxa"/>
              <w:bottom w:w="80" w:type="dxa"/>
              <w:left w:w="120" w:type="dxa"/>
              <w:right w:w="120" w:type="dxa"/>
            </w:tcMar>
          </w:tcPr>
          <w:p>
            <w:pPr>
              <w:jc w:val="center"/>
            </w:pPr>
            <w:r>
              <w:rPr>
                <w:rFonts w:ascii="Calibri" w:hAnsi="Calibri"/>
                <w:color w:val="333333"/>
                <w:sz w:val="19"/>
              </w:rPr>
              <w:t>Python 3.13 | Pandas | NumPy | Matplotlib | Seaborn | SciPy</w:t>
            </w:r>
          </w:p>
        </w:tc>
      </w:tr>
      <w:tr>
        <w:tc>
          <w:tcPr>
            <w:tcW w:type="dxa" w:w="3600"/>
            <w:shd w:fill="FFFFFF"/>
            <w:tcMar>
              <w:top w:w="80" w:type="dxa"/>
              <w:bottom w:w="80" w:type="dxa"/>
              <w:left w:w="120" w:type="dxa"/>
              <w:right w:w="120" w:type="dxa"/>
            </w:tcMar>
          </w:tcPr>
          <w:p>
            <w:pPr>
              <w:jc w:val="left"/>
            </w:pPr>
            <w:r>
              <w:rPr>
                <w:rFonts w:ascii="Calibri" w:hAnsi="Calibri"/>
                <w:color w:val="333333"/>
                <w:sz w:val="19"/>
              </w:rPr>
              <w:t>Submission Date</w:t>
            </w:r>
          </w:p>
        </w:tc>
        <w:tc>
          <w:tcPr>
            <w:tcW w:type="dxa" w:w="5760"/>
            <w:shd w:fill="FFFFFF"/>
            <w:tcMar>
              <w:top w:w="80" w:type="dxa"/>
              <w:bottom w:w="80" w:type="dxa"/>
              <w:left w:w="120" w:type="dxa"/>
              <w:right w:w="120" w:type="dxa"/>
            </w:tcMar>
          </w:tcPr>
          <w:p>
            <w:pPr>
              <w:jc w:val="center"/>
            </w:pPr>
            <w:r>
              <w:rPr>
                <w:rFonts w:ascii="Calibri" w:hAnsi="Calibri"/>
                <w:color w:val="333333"/>
                <w:sz w:val="19"/>
              </w:rPr>
              <w:t>October 03, 2026</w:t>
            </w:r>
          </w:p>
        </w:tc>
      </w:tr>
    </w:tbl>
    <w:p>
      <w:pPr>
        <w:spacing w:after="120"/>
      </w:pPr>
    </w:p>
    <w:p>
      <w:r>
        <w:br w:type="page"/>
      </w:r>
    </w:p>
    <w:p>
      <w:pPr>
        <w:keepNext/>
        <w:spacing w:before="320" w:after="120"/>
      </w:pPr>
      <w:r>
        <w:rPr>
          <w:rFonts w:ascii="Calibri" w:hAnsi="Calibri"/>
          <w:b/>
          <w:color w:val="E50914"/>
          <w:sz w:val="36"/>
        </w:rPr>
        <w:t>1. Abstract</w:t>
      </w:r>
    </w:p>
    <w:p>
      <w:pPr>
        <w:spacing w:before="0" w:after="120" w:line="276" w:lineRule="auto"/>
      </w:pPr>
      <w:r>
        <w:rPr>
          <w:rFonts w:ascii="Calibri" w:hAnsi="Calibri"/>
          <w:color w:val="333333"/>
          <w:sz w:val="22"/>
        </w:rPr>
        <w:t>This technical report presents a comprehensive Exploratory Data Analysis (EDA) and data visualization study of the Netflix Movies and TV Shows dataset curated by Shivam Bansal from Kaggle. Building directly upon the Week 1 data cleaning and preprocessing pipeline, this investigation examines 7,787 title records (comprising 5,377 Movies and 2,410 TV Shows) to uncover catalog composition, temporal release patterns, geographic production hubs, content target audience ratings, duration distributions, and seasonal addition dynamics.</w:t>
      </w:r>
    </w:p>
    <w:p>
      <w:pPr>
        <w:spacing w:before="0" w:after="120" w:line="276" w:lineRule="auto"/>
      </w:pPr>
      <w:r>
        <w:rPr>
          <w:rFonts w:ascii="Calibri" w:hAnsi="Calibri"/>
          <w:color w:val="333333"/>
          <w:sz w:val="22"/>
        </w:rPr>
        <w:t>Using Python analytical libraries (Pandas, NumPy, Matplotlib, Seaborn, and SciPy), 12 publication-quality visualizations were constructed alongside robust descriptive statistics and inferential hypothesis testing. Key empirical findings indicate that feature films constitute 69.05% of the platform's portfolio, though television series experienced exponential growth post-2016. Multi-country co-production unnesting highlights the United States (3,297 titles), India (990 titles), and the United Kingdom (723 titles) as top content contributors. Movie durations exhibit a normal distribution centered at a median of 98.0 minutes (mean: 99.3 min), whereas 66.7% of television series feature only a single season. Statistical tests confirm significant audience targeting differences between content formats (Chi-Square p = 1.79e-21) and significant duration variation across genres (ANOVA p = 3.91e-268).</w:t>
      </w:r>
    </w:p>
    <w:p>
      <w:pPr>
        <w:keepNext/>
        <w:spacing w:before="320" w:after="120"/>
      </w:pPr>
      <w:r>
        <w:rPr>
          <w:rFonts w:ascii="Calibri" w:hAnsi="Calibri"/>
          <w:b/>
          <w:color w:val="E50914"/>
          <w:sz w:val="36"/>
        </w:rPr>
        <w:t>2. Introduction</w:t>
      </w:r>
    </w:p>
    <w:p>
      <w:pPr>
        <w:spacing w:before="0" w:after="120" w:line="276" w:lineRule="auto"/>
      </w:pPr>
      <w:r>
        <w:rPr>
          <w:rFonts w:ascii="Calibri" w:hAnsi="Calibri"/>
          <w:color w:val="333333"/>
          <w:sz w:val="22"/>
        </w:rPr>
        <w:t>Exploratory Data Analysis (EDA) forms the bedrock of data science methodology. Developed by John Tukey, EDA emphasizes visual exploration, distribution assessment, relationship discovery, and hypothesis generation prior to formal statistical modeling. In modern corporate environments, streaming media platforms like Netflix rely heavily on exploratory analytics to optimize content licensing budgets, regional localization strategies, genre portfolio allocation, and user recommendation engines.</w:t>
      </w:r>
    </w:p>
    <w:p>
      <w:pPr>
        <w:keepNext/>
        <w:spacing w:before="240" w:after="80"/>
      </w:pPr>
      <w:r>
        <w:rPr>
          <w:rFonts w:ascii="Calibri" w:hAnsi="Calibri"/>
          <w:b/>
          <w:color w:val="1A5276"/>
          <w:sz w:val="28"/>
        </w:rPr>
        <w:t>2.1 Objectives of the Assignment</w:t>
      </w:r>
    </w:p>
    <w:p>
      <w:pPr>
        <w:pStyle w:val="ListBullet"/>
        <w:spacing w:before="0" w:after="60" w:line="276" w:lineRule="auto"/>
      </w:pPr>
      <w:r>
        <w:rPr>
          <w:rFonts w:ascii="Calibri" w:hAnsi="Calibri"/>
          <w:b/>
          <w:color w:val="333333"/>
          <w:sz w:val="22"/>
        </w:rPr>
        <w:t xml:space="preserve">1. Catalog Dynamics: </w:t>
      </w:r>
      <w:r>
        <w:rPr>
          <w:rFonts w:ascii="Calibri" w:hAnsi="Calibri"/>
          <w:color w:val="333333"/>
          <w:sz w:val="22"/>
        </w:rPr>
        <w:t>Quantify content type breakdown and analyze catalog expansion trends over time.</w:t>
      </w:r>
    </w:p>
    <w:p>
      <w:pPr>
        <w:pStyle w:val="ListBullet"/>
        <w:spacing w:before="0" w:after="60" w:line="276" w:lineRule="auto"/>
      </w:pPr>
      <w:r>
        <w:rPr>
          <w:rFonts w:ascii="Calibri" w:hAnsi="Calibri"/>
          <w:b/>
          <w:color w:val="333333"/>
          <w:sz w:val="22"/>
        </w:rPr>
        <w:t xml:space="preserve">2. Geographic Profiling: </w:t>
      </w:r>
      <w:r>
        <w:rPr>
          <w:rFonts w:ascii="Calibri" w:hAnsi="Calibri"/>
          <w:color w:val="333333"/>
          <w:sz w:val="22"/>
        </w:rPr>
        <w:t>Examine international content contributions while accounting for multi-country co-productions.</w:t>
      </w:r>
    </w:p>
    <w:p>
      <w:pPr>
        <w:pStyle w:val="ListBullet"/>
        <w:spacing w:before="0" w:after="60" w:line="276" w:lineRule="auto"/>
      </w:pPr>
      <w:r>
        <w:rPr>
          <w:rFonts w:ascii="Calibri" w:hAnsi="Calibri"/>
          <w:b/>
          <w:color w:val="333333"/>
          <w:sz w:val="22"/>
        </w:rPr>
        <w:t xml:space="preserve">3. Genre &amp; Audience Taxonomy: </w:t>
      </w:r>
      <w:r>
        <w:rPr>
          <w:rFonts w:ascii="Calibri" w:hAnsi="Calibri"/>
          <w:color w:val="333333"/>
          <w:sz w:val="22"/>
        </w:rPr>
        <w:t>Identify top listed genres and evaluate primary content categories across Movies and TV Shows.</w:t>
      </w:r>
    </w:p>
    <w:p>
      <w:pPr>
        <w:pStyle w:val="ListBullet"/>
        <w:spacing w:before="0" w:after="60" w:line="276" w:lineRule="auto"/>
      </w:pPr>
      <w:r>
        <w:rPr>
          <w:rFonts w:ascii="Calibri" w:hAnsi="Calibri"/>
          <w:b/>
          <w:color w:val="333333"/>
          <w:sz w:val="22"/>
        </w:rPr>
        <w:t xml:space="preserve">4. Duration Metrics: </w:t>
      </w:r>
      <w:r>
        <w:rPr>
          <w:rFonts w:ascii="Calibri" w:hAnsi="Calibri"/>
          <w:color w:val="333333"/>
          <w:sz w:val="22"/>
        </w:rPr>
        <w:t>Conduct empirical distribution analysis of movie runtimes and TV show season counts.</w:t>
      </w:r>
    </w:p>
    <w:p>
      <w:pPr>
        <w:pStyle w:val="ListBullet"/>
        <w:spacing w:before="0" w:after="60" w:line="276" w:lineRule="auto"/>
      </w:pPr>
      <w:r>
        <w:rPr>
          <w:rFonts w:ascii="Calibri" w:hAnsi="Calibri"/>
          <w:b/>
          <w:color w:val="333333"/>
          <w:sz w:val="22"/>
        </w:rPr>
        <w:t xml:space="preserve">5. Licensing &amp; Release Patterns: </w:t>
      </w:r>
      <w:r>
        <w:rPr>
          <w:rFonts w:ascii="Calibri" w:hAnsi="Calibri"/>
          <w:color w:val="333333"/>
          <w:sz w:val="22"/>
        </w:rPr>
        <w:t>Evaluate content age lag (release year vs Netflix addition date) and addition seasonality.</w:t>
      </w:r>
    </w:p>
    <w:p>
      <w:pPr>
        <w:pStyle w:val="ListBullet"/>
        <w:spacing w:before="0" w:after="60" w:line="276" w:lineRule="auto"/>
      </w:pPr>
      <w:r>
        <w:rPr>
          <w:rFonts w:ascii="Calibri" w:hAnsi="Calibri"/>
          <w:b/>
          <w:color w:val="333333"/>
          <w:sz w:val="22"/>
        </w:rPr>
        <w:t xml:space="preserve">6. Inferential Statistical Testing: </w:t>
      </w:r>
      <w:r>
        <w:rPr>
          <w:rFonts w:ascii="Calibri" w:hAnsi="Calibri"/>
          <w:color w:val="333333"/>
          <w:sz w:val="22"/>
        </w:rPr>
        <w:t>Apply Chi-Square tests of independence and ANOVA/Kruskal-Wallis variance tests.</w:t>
      </w:r>
    </w:p>
    <w:p>
      <w:pPr>
        <w:keepNext/>
        <w:spacing w:before="320" w:after="120"/>
      </w:pPr>
      <w:r>
        <w:rPr>
          <w:rFonts w:ascii="Calibri" w:hAnsi="Calibri"/>
          <w:b/>
          <w:color w:val="E50914"/>
          <w:sz w:val="36"/>
        </w:rPr>
        <w:t>3. Dataset Description</w:t>
      </w:r>
    </w:p>
    <w:p>
      <w:pPr>
        <w:spacing w:before="0" w:after="120" w:line="276" w:lineRule="auto"/>
      </w:pPr>
      <w:r>
        <w:rPr>
          <w:rFonts w:ascii="Calibri" w:hAnsi="Calibri"/>
          <w:color w:val="333333"/>
          <w:sz w:val="22"/>
        </w:rPr>
        <w:t>The primary dataset analyzed in this study is the Netflix Movies and TV Shows dataset sourced from Kaggle (contributed by Shivam Bansal). The original raw dataset contains 7,787 rows and 12 columns, capturing metadata for titles added to Netflix up to early 2021.</w:t>
      </w:r>
    </w:p>
    <w:tbl>
      <w:tblPr>
        <w:tblW w:type="auto" w:w="0"/>
        <w:jc w:val="center"/>
        <w:tblLook w:firstColumn="1" w:firstRow="1" w:lastColumn="0" w:lastRow="0" w:noHBand="0" w:noVBand="1" w:val="04A0"/>
      </w:tblPr>
      <w:tblGrid>
        <w:gridCol w:w="2340"/>
        <w:gridCol w:w="2340"/>
        <w:gridCol w:w="2340"/>
        <w:gridCol w:w="2340"/>
      </w:tblGrid>
      <w:tr>
        <w:tc>
          <w:tcPr>
            <w:tcW w:type="dxa" w:w="1728"/>
            <w:shd w:fill="1A5276"/>
            <w:tcMar>
              <w:top w:w="100" w:type="dxa"/>
              <w:bottom w:w="100" w:type="dxa"/>
              <w:left w:w="120" w:type="dxa"/>
              <w:right w:w="120" w:type="dxa"/>
            </w:tcMar>
          </w:tcPr>
          <w:p>
            <w:pPr>
              <w:jc w:val="center"/>
            </w:pPr>
            <w:r>
              <w:rPr>
                <w:rFonts w:ascii="Calibri" w:hAnsi="Calibri"/>
                <w:b/>
                <w:color w:val="FFFFFF"/>
                <w:sz w:val="20"/>
              </w:rPr>
              <w:t>Column Name</w:t>
            </w:r>
          </w:p>
        </w:tc>
        <w:tc>
          <w:tcPr>
            <w:tcW w:type="dxa" w:w="1728"/>
            <w:shd w:fill="1A5276"/>
            <w:tcMar>
              <w:top w:w="100" w:type="dxa"/>
              <w:bottom w:w="100" w:type="dxa"/>
              <w:left w:w="120" w:type="dxa"/>
              <w:right w:w="120" w:type="dxa"/>
            </w:tcMar>
          </w:tcPr>
          <w:p>
            <w:pPr>
              <w:jc w:val="center"/>
            </w:pPr>
            <w:r>
              <w:rPr>
                <w:rFonts w:ascii="Calibri" w:hAnsi="Calibri"/>
                <w:b/>
                <w:color w:val="FFFFFF"/>
                <w:sz w:val="20"/>
              </w:rPr>
              <w:t>Data Type</w:t>
            </w:r>
          </w:p>
        </w:tc>
        <w:tc>
          <w:tcPr>
            <w:tcW w:type="dxa" w:w="3312"/>
            <w:shd w:fill="1A5276"/>
            <w:tcMar>
              <w:top w:w="100" w:type="dxa"/>
              <w:bottom w:w="100" w:type="dxa"/>
              <w:left w:w="120" w:type="dxa"/>
              <w:right w:w="120" w:type="dxa"/>
            </w:tcMar>
          </w:tcPr>
          <w:p>
            <w:pPr>
              <w:jc w:val="center"/>
            </w:pPr>
            <w:r>
              <w:rPr>
                <w:rFonts w:ascii="Calibri" w:hAnsi="Calibri"/>
                <w:b/>
                <w:color w:val="FFFFFF"/>
                <w:sz w:val="20"/>
              </w:rPr>
              <w:t>Role / Description</w:t>
            </w:r>
          </w:p>
        </w:tc>
        <w:tc>
          <w:tcPr>
            <w:tcW w:type="dxa" w:w="2592"/>
            <w:shd w:fill="1A5276"/>
            <w:tcMar>
              <w:top w:w="100" w:type="dxa"/>
              <w:bottom w:w="100" w:type="dxa"/>
              <w:left w:w="120" w:type="dxa"/>
              <w:right w:w="120" w:type="dxa"/>
            </w:tcMar>
          </w:tcPr>
          <w:p>
            <w:pPr>
              <w:jc w:val="center"/>
            </w:pPr>
            <w:r>
              <w:rPr>
                <w:rFonts w:ascii="Calibri" w:hAnsi="Calibri"/>
                <w:b/>
                <w:color w:val="FFFFFF"/>
                <w:sz w:val="20"/>
              </w:rPr>
              <w:t>Cleaned &amp; Engineered State</w:t>
            </w:r>
          </w:p>
        </w:tc>
      </w:tr>
      <w:tr>
        <w:tc>
          <w:tcPr>
            <w:tcW w:type="dxa" w:w="1728"/>
            <w:shd w:fill="FFFFFF"/>
            <w:tcMar>
              <w:top w:w="80" w:type="dxa"/>
              <w:bottom w:w="80" w:type="dxa"/>
              <w:left w:w="120" w:type="dxa"/>
              <w:right w:w="120" w:type="dxa"/>
            </w:tcMar>
          </w:tcPr>
          <w:p>
            <w:pPr>
              <w:jc w:val="left"/>
            </w:pPr>
            <w:r>
              <w:rPr>
                <w:rFonts w:ascii="Calibri" w:hAnsi="Calibri"/>
                <w:color w:val="333333"/>
                <w:sz w:val="19"/>
              </w:rPr>
              <w:t>show_id</w:t>
            </w:r>
          </w:p>
        </w:tc>
        <w:tc>
          <w:tcPr>
            <w:tcW w:type="dxa" w:w="1728"/>
            <w:shd w:fill="FFFFFF"/>
            <w:tcMar>
              <w:top w:w="80" w:type="dxa"/>
              <w:bottom w:w="80" w:type="dxa"/>
              <w:left w:w="120" w:type="dxa"/>
              <w:right w:w="120" w:type="dxa"/>
            </w:tcMar>
          </w:tcPr>
          <w:p>
            <w:pPr>
              <w:jc w:val="center"/>
            </w:pPr>
            <w:r>
              <w:rPr>
                <w:rFonts w:ascii="Calibri" w:hAnsi="Calibri"/>
                <w:color w:val="333333"/>
                <w:sz w:val="19"/>
              </w:rPr>
              <w:t>Object / String</w:t>
            </w:r>
          </w:p>
        </w:tc>
        <w:tc>
          <w:tcPr>
            <w:tcW w:type="dxa" w:w="3312"/>
            <w:shd w:fill="FFFFFF"/>
            <w:tcMar>
              <w:top w:w="80" w:type="dxa"/>
              <w:bottom w:w="80" w:type="dxa"/>
              <w:left w:w="120" w:type="dxa"/>
              <w:right w:w="120" w:type="dxa"/>
            </w:tcMar>
          </w:tcPr>
          <w:p>
            <w:pPr>
              <w:jc w:val="center"/>
            </w:pPr>
            <w:r>
              <w:rPr>
                <w:rFonts w:ascii="Calibri" w:hAnsi="Calibri"/>
                <w:color w:val="333333"/>
                <w:sz w:val="19"/>
              </w:rPr>
              <w:t>Unique record identifier (e.g., s1, s2)</w:t>
            </w:r>
          </w:p>
        </w:tc>
        <w:tc>
          <w:tcPr>
            <w:tcW w:type="dxa" w:w="2592"/>
            <w:shd w:fill="FFFFFF"/>
            <w:tcMar>
              <w:top w:w="80" w:type="dxa"/>
              <w:bottom w:w="80" w:type="dxa"/>
              <w:left w:w="120" w:type="dxa"/>
              <w:right w:w="120" w:type="dxa"/>
            </w:tcMar>
          </w:tcPr>
          <w:p>
            <w:pPr>
              <w:jc w:val="center"/>
            </w:pPr>
            <w:r>
              <w:rPr>
                <w:rFonts w:ascii="Calibri" w:hAnsi="Calibri"/>
                <w:color w:val="333333"/>
                <w:sz w:val="19"/>
              </w:rPr>
              <w:t>Validated 100% unique primary key</w:t>
            </w:r>
          </w:p>
        </w:tc>
      </w:tr>
      <w:tr>
        <w:tc>
          <w:tcPr>
            <w:tcW w:type="dxa" w:w="1728"/>
            <w:shd w:fill="F9FAFC"/>
            <w:tcMar>
              <w:top w:w="80" w:type="dxa"/>
              <w:bottom w:w="80" w:type="dxa"/>
              <w:left w:w="120" w:type="dxa"/>
              <w:right w:w="120" w:type="dxa"/>
            </w:tcMar>
          </w:tcPr>
          <w:p>
            <w:pPr>
              <w:jc w:val="left"/>
            </w:pPr>
            <w:r>
              <w:rPr>
                <w:rFonts w:ascii="Calibri" w:hAnsi="Calibri"/>
                <w:color w:val="333333"/>
                <w:sz w:val="19"/>
              </w:rPr>
              <w:t>type</w:t>
            </w:r>
          </w:p>
        </w:tc>
        <w:tc>
          <w:tcPr>
            <w:tcW w:type="dxa" w:w="1728"/>
            <w:shd w:fill="F9FAFC"/>
            <w:tcMar>
              <w:top w:w="80" w:type="dxa"/>
              <w:bottom w:w="80" w:type="dxa"/>
              <w:left w:w="120" w:type="dxa"/>
              <w:right w:w="120" w:type="dxa"/>
            </w:tcMar>
          </w:tcPr>
          <w:p>
            <w:pPr>
              <w:jc w:val="center"/>
            </w:pPr>
            <w:r>
              <w:rPr>
                <w:rFonts w:ascii="Calibri" w:hAnsi="Calibri"/>
                <w:color w:val="333333"/>
                <w:sz w:val="19"/>
              </w:rPr>
              <w:t>Object / Category</w:t>
            </w:r>
          </w:p>
        </w:tc>
        <w:tc>
          <w:tcPr>
            <w:tcW w:type="dxa" w:w="3312"/>
            <w:shd w:fill="F9FAFC"/>
            <w:tcMar>
              <w:top w:w="80" w:type="dxa"/>
              <w:bottom w:w="80" w:type="dxa"/>
              <w:left w:w="120" w:type="dxa"/>
              <w:right w:w="120" w:type="dxa"/>
            </w:tcMar>
          </w:tcPr>
          <w:p>
            <w:pPr>
              <w:jc w:val="center"/>
            </w:pPr>
            <w:r>
              <w:rPr>
                <w:rFonts w:ascii="Calibri" w:hAnsi="Calibri"/>
                <w:color w:val="333333"/>
                <w:sz w:val="19"/>
              </w:rPr>
              <w:t>Content format: Movie or TV Show</w:t>
            </w:r>
          </w:p>
        </w:tc>
        <w:tc>
          <w:tcPr>
            <w:tcW w:type="dxa" w:w="2592"/>
            <w:shd w:fill="F9FAFC"/>
            <w:tcMar>
              <w:top w:w="80" w:type="dxa"/>
              <w:bottom w:w="80" w:type="dxa"/>
              <w:left w:w="120" w:type="dxa"/>
              <w:right w:w="120" w:type="dxa"/>
            </w:tcMar>
          </w:tcPr>
          <w:p>
            <w:pPr>
              <w:jc w:val="center"/>
            </w:pPr>
            <w:r>
              <w:rPr>
                <w:rFonts w:ascii="Calibri" w:hAnsi="Calibri"/>
                <w:color w:val="333333"/>
                <w:sz w:val="19"/>
              </w:rPr>
              <w:t>Standardized binary category</w:t>
            </w:r>
          </w:p>
        </w:tc>
      </w:tr>
      <w:tr>
        <w:tc>
          <w:tcPr>
            <w:tcW w:type="dxa" w:w="1728"/>
            <w:shd w:fill="FFFFFF"/>
            <w:tcMar>
              <w:top w:w="80" w:type="dxa"/>
              <w:bottom w:w="80" w:type="dxa"/>
              <w:left w:w="120" w:type="dxa"/>
              <w:right w:w="120" w:type="dxa"/>
            </w:tcMar>
          </w:tcPr>
          <w:p>
            <w:pPr>
              <w:jc w:val="left"/>
            </w:pPr>
            <w:r>
              <w:rPr>
                <w:rFonts w:ascii="Calibri" w:hAnsi="Calibri"/>
                <w:color w:val="333333"/>
                <w:sz w:val="19"/>
              </w:rPr>
              <w:t>title</w:t>
            </w:r>
          </w:p>
        </w:tc>
        <w:tc>
          <w:tcPr>
            <w:tcW w:type="dxa" w:w="1728"/>
            <w:shd w:fill="FFFFFF"/>
            <w:tcMar>
              <w:top w:w="80" w:type="dxa"/>
              <w:bottom w:w="80" w:type="dxa"/>
              <w:left w:w="120" w:type="dxa"/>
              <w:right w:w="120" w:type="dxa"/>
            </w:tcMar>
          </w:tcPr>
          <w:p>
            <w:pPr>
              <w:jc w:val="center"/>
            </w:pPr>
            <w:r>
              <w:rPr>
                <w:rFonts w:ascii="Calibri" w:hAnsi="Calibri"/>
                <w:color w:val="333333"/>
                <w:sz w:val="19"/>
              </w:rPr>
              <w:t>Object / String</w:t>
            </w:r>
          </w:p>
        </w:tc>
        <w:tc>
          <w:tcPr>
            <w:tcW w:type="dxa" w:w="3312"/>
            <w:shd w:fill="FFFFFF"/>
            <w:tcMar>
              <w:top w:w="80" w:type="dxa"/>
              <w:bottom w:w="80" w:type="dxa"/>
              <w:left w:w="120" w:type="dxa"/>
              <w:right w:w="120" w:type="dxa"/>
            </w:tcMar>
          </w:tcPr>
          <w:p>
            <w:pPr>
              <w:jc w:val="center"/>
            </w:pPr>
            <w:r>
              <w:rPr>
                <w:rFonts w:ascii="Calibri" w:hAnsi="Calibri"/>
                <w:color w:val="333333"/>
                <w:sz w:val="19"/>
              </w:rPr>
              <w:t>Official title of the movie or show</w:t>
            </w:r>
          </w:p>
        </w:tc>
        <w:tc>
          <w:tcPr>
            <w:tcW w:type="dxa" w:w="2592"/>
            <w:shd w:fill="FFFFFF"/>
            <w:tcMar>
              <w:top w:w="80" w:type="dxa"/>
              <w:bottom w:w="80" w:type="dxa"/>
              <w:left w:w="120" w:type="dxa"/>
              <w:right w:w="120" w:type="dxa"/>
            </w:tcMar>
          </w:tcPr>
          <w:p>
            <w:pPr>
              <w:jc w:val="center"/>
            </w:pPr>
            <w:r>
              <w:rPr>
                <w:rFonts w:ascii="Calibri" w:hAnsi="Calibri"/>
                <w:color w:val="333333"/>
                <w:sz w:val="19"/>
              </w:rPr>
              <w:t>Trimmed whitespace, normalized text</w:t>
            </w:r>
          </w:p>
        </w:tc>
      </w:tr>
      <w:tr>
        <w:tc>
          <w:tcPr>
            <w:tcW w:type="dxa" w:w="1728"/>
            <w:shd w:fill="F9FAFC"/>
            <w:tcMar>
              <w:top w:w="80" w:type="dxa"/>
              <w:bottom w:w="80" w:type="dxa"/>
              <w:left w:w="120" w:type="dxa"/>
              <w:right w:w="120" w:type="dxa"/>
            </w:tcMar>
          </w:tcPr>
          <w:p>
            <w:pPr>
              <w:jc w:val="left"/>
            </w:pPr>
            <w:r>
              <w:rPr>
                <w:rFonts w:ascii="Calibri" w:hAnsi="Calibri"/>
                <w:color w:val="333333"/>
                <w:sz w:val="19"/>
              </w:rPr>
              <w:t>director</w:t>
            </w:r>
          </w:p>
        </w:tc>
        <w:tc>
          <w:tcPr>
            <w:tcW w:type="dxa" w:w="1728"/>
            <w:shd w:fill="F9FAFC"/>
            <w:tcMar>
              <w:top w:w="80" w:type="dxa"/>
              <w:bottom w:w="80" w:type="dxa"/>
              <w:left w:w="120" w:type="dxa"/>
              <w:right w:w="120" w:type="dxa"/>
            </w:tcMar>
          </w:tcPr>
          <w:p>
            <w:pPr>
              <w:jc w:val="center"/>
            </w:pPr>
            <w:r>
              <w:rPr>
                <w:rFonts w:ascii="Calibri" w:hAnsi="Calibri"/>
                <w:color w:val="333333"/>
                <w:sz w:val="19"/>
              </w:rPr>
              <w:t>Object / String</w:t>
            </w:r>
          </w:p>
        </w:tc>
        <w:tc>
          <w:tcPr>
            <w:tcW w:type="dxa" w:w="3312"/>
            <w:shd w:fill="F9FAFC"/>
            <w:tcMar>
              <w:top w:w="80" w:type="dxa"/>
              <w:bottom w:w="80" w:type="dxa"/>
              <w:left w:w="120" w:type="dxa"/>
              <w:right w:w="120" w:type="dxa"/>
            </w:tcMar>
          </w:tcPr>
          <w:p>
            <w:pPr>
              <w:jc w:val="center"/>
            </w:pPr>
            <w:r>
              <w:rPr>
                <w:rFonts w:ascii="Calibri" w:hAnsi="Calibri"/>
                <w:color w:val="333333"/>
                <w:sz w:val="19"/>
              </w:rPr>
              <w:t>Director name(s)</w:t>
            </w:r>
          </w:p>
        </w:tc>
        <w:tc>
          <w:tcPr>
            <w:tcW w:type="dxa" w:w="2592"/>
            <w:shd w:fill="F9FAFC"/>
            <w:tcMar>
              <w:top w:w="80" w:type="dxa"/>
              <w:bottom w:w="80" w:type="dxa"/>
              <w:left w:w="120" w:type="dxa"/>
              <w:right w:w="120" w:type="dxa"/>
            </w:tcMar>
          </w:tcPr>
          <w:p>
            <w:pPr>
              <w:jc w:val="center"/>
            </w:pPr>
            <w:r>
              <w:rPr>
                <w:rFonts w:ascii="Calibri" w:hAnsi="Calibri"/>
                <w:color w:val="333333"/>
                <w:sz w:val="19"/>
              </w:rPr>
              <w:t>Missing values filled with 'Unknown Director'</w:t>
            </w:r>
          </w:p>
        </w:tc>
      </w:tr>
      <w:tr>
        <w:tc>
          <w:tcPr>
            <w:tcW w:type="dxa" w:w="1728"/>
            <w:shd w:fill="FFFFFF"/>
            <w:tcMar>
              <w:top w:w="80" w:type="dxa"/>
              <w:bottom w:w="80" w:type="dxa"/>
              <w:left w:w="120" w:type="dxa"/>
              <w:right w:w="120" w:type="dxa"/>
            </w:tcMar>
          </w:tcPr>
          <w:p>
            <w:pPr>
              <w:jc w:val="left"/>
            </w:pPr>
            <w:r>
              <w:rPr>
                <w:rFonts w:ascii="Calibri" w:hAnsi="Calibri"/>
                <w:color w:val="333333"/>
                <w:sz w:val="19"/>
              </w:rPr>
              <w:t>cast</w:t>
            </w:r>
          </w:p>
        </w:tc>
        <w:tc>
          <w:tcPr>
            <w:tcW w:type="dxa" w:w="1728"/>
            <w:shd w:fill="FFFFFF"/>
            <w:tcMar>
              <w:top w:w="80" w:type="dxa"/>
              <w:bottom w:w="80" w:type="dxa"/>
              <w:left w:w="120" w:type="dxa"/>
              <w:right w:w="120" w:type="dxa"/>
            </w:tcMar>
          </w:tcPr>
          <w:p>
            <w:pPr>
              <w:jc w:val="center"/>
            </w:pPr>
            <w:r>
              <w:rPr>
                <w:rFonts w:ascii="Calibri" w:hAnsi="Calibri"/>
                <w:color w:val="333333"/>
                <w:sz w:val="19"/>
              </w:rPr>
              <w:t>Object / String</w:t>
            </w:r>
          </w:p>
        </w:tc>
        <w:tc>
          <w:tcPr>
            <w:tcW w:type="dxa" w:w="3312"/>
            <w:shd w:fill="FFFFFF"/>
            <w:tcMar>
              <w:top w:w="80" w:type="dxa"/>
              <w:bottom w:w="80" w:type="dxa"/>
              <w:left w:w="120" w:type="dxa"/>
              <w:right w:w="120" w:type="dxa"/>
            </w:tcMar>
          </w:tcPr>
          <w:p>
            <w:pPr>
              <w:jc w:val="center"/>
            </w:pPr>
            <w:r>
              <w:rPr>
                <w:rFonts w:ascii="Calibri" w:hAnsi="Calibri"/>
                <w:color w:val="333333"/>
                <w:sz w:val="19"/>
              </w:rPr>
              <w:t>Main cast members (comma-separated)</w:t>
            </w:r>
          </w:p>
        </w:tc>
        <w:tc>
          <w:tcPr>
            <w:tcW w:type="dxa" w:w="2592"/>
            <w:shd w:fill="FFFFFF"/>
            <w:tcMar>
              <w:top w:w="80" w:type="dxa"/>
              <w:bottom w:w="80" w:type="dxa"/>
              <w:left w:w="120" w:type="dxa"/>
              <w:right w:w="120" w:type="dxa"/>
            </w:tcMar>
          </w:tcPr>
          <w:p>
            <w:pPr>
              <w:jc w:val="center"/>
            </w:pPr>
            <w:r>
              <w:rPr>
                <w:rFonts w:ascii="Calibri" w:hAnsi="Calibri"/>
                <w:color w:val="333333"/>
                <w:sz w:val="19"/>
              </w:rPr>
              <w:t>Missing values filled with 'Unknown Cast'</w:t>
            </w:r>
          </w:p>
        </w:tc>
      </w:tr>
      <w:tr>
        <w:tc>
          <w:tcPr>
            <w:tcW w:type="dxa" w:w="1728"/>
            <w:shd w:fill="F9FAFC"/>
            <w:tcMar>
              <w:top w:w="80" w:type="dxa"/>
              <w:bottom w:w="80" w:type="dxa"/>
              <w:left w:w="120" w:type="dxa"/>
              <w:right w:w="120" w:type="dxa"/>
            </w:tcMar>
          </w:tcPr>
          <w:p>
            <w:pPr>
              <w:jc w:val="left"/>
            </w:pPr>
            <w:r>
              <w:rPr>
                <w:rFonts w:ascii="Calibri" w:hAnsi="Calibri"/>
                <w:color w:val="333333"/>
                <w:sz w:val="19"/>
              </w:rPr>
              <w:t>country</w:t>
            </w:r>
          </w:p>
        </w:tc>
        <w:tc>
          <w:tcPr>
            <w:tcW w:type="dxa" w:w="1728"/>
            <w:shd w:fill="F9FAFC"/>
            <w:tcMar>
              <w:top w:w="80" w:type="dxa"/>
              <w:bottom w:w="80" w:type="dxa"/>
              <w:left w:w="120" w:type="dxa"/>
              <w:right w:w="120" w:type="dxa"/>
            </w:tcMar>
          </w:tcPr>
          <w:p>
            <w:pPr>
              <w:jc w:val="center"/>
            </w:pPr>
            <w:r>
              <w:rPr>
                <w:rFonts w:ascii="Calibri" w:hAnsi="Calibri"/>
                <w:color w:val="333333"/>
                <w:sz w:val="19"/>
              </w:rPr>
              <w:t>Object / String</w:t>
            </w:r>
          </w:p>
        </w:tc>
        <w:tc>
          <w:tcPr>
            <w:tcW w:type="dxa" w:w="3312"/>
            <w:shd w:fill="F9FAFC"/>
            <w:tcMar>
              <w:top w:w="80" w:type="dxa"/>
              <w:bottom w:w="80" w:type="dxa"/>
              <w:left w:w="120" w:type="dxa"/>
              <w:right w:w="120" w:type="dxa"/>
            </w:tcMar>
          </w:tcPr>
          <w:p>
            <w:pPr>
              <w:jc w:val="center"/>
            </w:pPr>
            <w:r>
              <w:rPr>
                <w:rFonts w:ascii="Calibri" w:hAnsi="Calibri"/>
                <w:color w:val="333333"/>
                <w:sz w:val="19"/>
              </w:rPr>
              <w:t>Production countries (comma-separated)</w:t>
            </w:r>
          </w:p>
        </w:tc>
        <w:tc>
          <w:tcPr>
            <w:tcW w:type="dxa" w:w="2592"/>
            <w:shd w:fill="F9FAFC"/>
            <w:tcMar>
              <w:top w:w="80" w:type="dxa"/>
              <w:bottom w:w="80" w:type="dxa"/>
              <w:left w:w="120" w:type="dxa"/>
              <w:right w:w="120" w:type="dxa"/>
            </w:tcMar>
          </w:tcPr>
          <w:p>
            <w:pPr>
              <w:jc w:val="center"/>
            </w:pPr>
            <w:r>
              <w:rPr>
                <w:rFonts w:ascii="Calibri" w:hAnsi="Calibri"/>
                <w:color w:val="333333"/>
                <w:sz w:val="19"/>
              </w:rPr>
              <w:t>Missing filled with 'Unknown Country'; unnested</w:t>
            </w:r>
          </w:p>
        </w:tc>
      </w:tr>
      <w:tr>
        <w:tc>
          <w:tcPr>
            <w:tcW w:type="dxa" w:w="1728"/>
            <w:shd w:fill="FFFFFF"/>
            <w:tcMar>
              <w:top w:w="80" w:type="dxa"/>
              <w:bottom w:w="80" w:type="dxa"/>
              <w:left w:w="120" w:type="dxa"/>
              <w:right w:w="120" w:type="dxa"/>
            </w:tcMar>
          </w:tcPr>
          <w:p>
            <w:pPr>
              <w:jc w:val="left"/>
            </w:pPr>
            <w:r>
              <w:rPr>
                <w:rFonts w:ascii="Calibri" w:hAnsi="Calibri"/>
                <w:color w:val="333333"/>
                <w:sz w:val="19"/>
              </w:rPr>
              <w:t>date_added</w:t>
            </w:r>
          </w:p>
        </w:tc>
        <w:tc>
          <w:tcPr>
            <w:tcW w:type="dxa" w:w="1728"/>
            <w:shd w:fill="FFFFFF"/>
            <w:tcMar>
              <w:top w:w="80" w:type="dxa"/>
              <w:bottom w:w="80" w:type="dxa"/>
              <w:left w:w="120" w:type="dxa"/>
              <w:right w:w="120" w:type="dxa"/>
            </w:tcMar>
          </w:tcPr>
          <w:p>
            <w:pPr>
              <w:jc w:val="center"/>
            </w:pPr>
            <w:r>
              <w:rPr>
                <w:rFonts w:ascii="Calibri" w:hAnsi="Calibri"/>
                <w:color w:val="333333"/>
                <w:sz w:val="19"/>
              </w:rPr>
              <w:t>Object / Datetime</w:t>
            </w:r>
          </w:p>
        </w:tc>
        <w:tc>
          <w:tcPr>
            <w:tcW w:type="dxa" w:w="3312"/>
            <w:shd w:fill="FFFFFF"/>
            <w:tcMar>
              <w:top w:w="80" w:type="dxa"/>
              <w:bottom w:w="80" w:type="dxa"/>
              <w:left w:w="120" w:type="dxa"/>
              <w:right w:w="120" w:type="dxa"/>
            </w:tcMar>
          </w:tcPr>
          <w:p>
            <w:pPr>
              <w:jc w:val="center"/>
            </w:pPr>
            <w:r>
              <w:rPr>
                <w:rFonts w:ascii="Calibri" w:hAnsi="Calibri"/>
                <w:color w:val="333333"/>
                <w:sz w:val="19"/>
              </w:rPr>
              <w:t>Date title was added to Netflix</w:t>
            </w:r>
          </w:p>
        </w:tc>
        <w:tc>
          <w:tcPr>
            <w:tcW w:type="dxa" w:w="2592"/>
            <w:shd w:fill="FFFFFF"/>
            <w:tcMar>
              <w:top w:w="80" w:type="dxa"/>
              <w:bottom w:w="80" w:type="dxa"/>
              <w:left w:w="120" w:type="dxa"/>
              <w:right w:w="120" w:type="dxa"/>
            </w:tcMar>
          </w:tcPr>
          <w:p>
            <w:pPr>
              <w:jc w:val="center"/>
            </w:pPr>
            <w:r>
              <w:rPr>
                <w:rFonts w:ascii="Calibri" w:hAnsi="Calibri"/>
                <w:color w:val="333333"/>
                <w:sz w:val="19"/>
              </w:rPr>
              <w:t>Parsed to datetime (`date_added_dt`) &amp; year/month</w:t>
            </w:r>
          </w:p>
        </w:tc>
      </w:tr>
      <w:tr>
        <w:tc>
          <w:tcPr>
            <w:tcW w:type="dxa" w:w="1728"/>
            <w:shd w:fill="F9FAFC"/>
            <w:tcMar>
              <w:top w:w="80" w:type="dxa"/>
              <w:bottom w:w="80" w:type="dxa"/>
              <w:left w:w="120" w:type="dxa"/>
              <w:right w:w="120" w:type="dxa"/>
            </w:tcMar>
          </w:tcPr>
          <w:p>
            <w:pPr>
              <w:jc w:val="left"/>
            </w:pPr>
            <w:r>
              <w:rPr>
                <w:rFonts w:ascii="Calibri" w:hAnsi="Calibri"/>
                <w:color w:val="333333"/>
                <w:sz w:val="19"/>
              </w:rPr>
              <w:t>release_year</w:t>
            </w:r>
          </w:p>
        </w:tc>
        <w:tc>
          <w:tcPr>
            <w:tcW w:type="dxa" w:w="1728"/>
            <w:shd w:fill="F9FAFC"/>
            <w:tcMar>
              <w:top w:w="80" w:type="dxa"/>
              <w:bottom w:w="80" w:type="dxa"/>
              <w:left w:w="120" w:type="dxa"/>
              <w:right w:w="120" w:type="dxa"/>
            </w:tcMar>
          </w:tcPr>
          <w:p>
            <w:pPr>
              <w:jc w:val="center"/>
            </w:pPr>
            <w:r>
              <w:rPr>
                <w:rFonts w:ascii="Calibri" w:hAnsi="Calibri"/>
                <w:color w:val="333333"/>
                <w:sz w:val="19"/>
              </w:rPr>
              <w:t>Integer</w:t>
            </w:r>
          </w:p>
        </w:tc>
        <w:tc>
          <w:tcPr>
            <w:tcW w:type="dxa" w:w="3312"/>
            <w:shd w:fill="F9FAFC"/>
            <w:tcMar>
              <w:top w:w="80" w:type="dxa"/>
              <w:bottom w:w="80" w:type="dxa"/>
              <w:left w:w="120" w:type="dxa"/>
              <w:right w:w="120" w:type="dxa"/>
            </w:tcMar>
          </w:tcPr>
          <w:p>
            <w:pPr>
              <w:jc w:val="center"/>
            </w:pPr>
            <w:r>
              <w:rPr>
                <w:rFonts w:ascii="Calibri" w:hAnsi="Calibri"/>
                <w:color w:val="333333"/>
                <w:sz w:val="19"/>
              </w:rPr>
              <w:t>Original release year of title</w:t>
            </w:r>
          </w:p>
        </w:tc>
        <w:tc>
          <w:tcPr>
            <w:tcW w:type="dxa" w:w="2592"/>
            <w:shd w:fill="F9FAFC"/>
            <w:tcMar>
              <w:top w:w="80" w:type="dxa"/>
              <w:bottom w:w="80" w:type="dxa"/>
              <w:left w:w="120" w:type="dxa"/>
              <w:right w:w="120" w:type="dxa"/>
            </w:tcMar>
          </w:tcPr>
          <w:p>
            <w:pPr>
              <w:jc w:val="center"/>
            </w:pPr>
            <w:r>
              <w:rPr>
                <w:rFonts w:ascii="Calibri" w:hAnsi="Calibri"/>
                <w:color w:val="333333"/>
                <w:sz w:val="19"/>
              </w:rPr>
              <w:t>Numeric year (1925 to 2021)</w:t>
            </w:r>
          </w:p>
        </w:tc>
      </w:tr>
      <w:tr>
        <w:tc>
          <w:tcPr>
            <w:tcW w:type="dxa" w:w="1728"/>
            <w:shd w:fill="FFFFFF"/>
            <w:tcMar>
              <w:top w:w="80" w:type="dxa"/>
              <w:bottom w:w="80" w:type="dxa"/>
              <w:left w:w="120" w:type="dxa"/>
              <w:right w:w="120" w:type="dxa"/>
            </w:tcMar>
          </w:tcPr>
          <w:p>
            <w:pPr>
              <w:jc w:val="left"/>
            </w:pPr>
            <w:r>
              <w:rPr>
                <w:rFonts w:ascii="Calibri" w:hAnsi="Calibri"/>
                <w:color w:val="333333"/>
                <w:sz w:val="19"/>
              </w:rPr>
              <w:t>rating</w:t>
            </w:r>
          </w:p>
        </w:tc>
        <w:tc>
          <w:tcPr>
            <w:tcW w:type="dxa" w:w="1728"/>
            <w:shd w:fill="FFFFFF"/>
            <w:tcMar>
              <w:top w:w="80" w:type="dxa"/>
              <w:bottom w:w="80" w:type="dxa"/>
              <w:left w:w="120" w:type="dxa"/>
              <w:right w:w="120" w:type="dxa"/>
            </w:tcMar>
          </w:tcPr>
          <w:p>
            <w:pPr>
              <w:jc w:val="center"/>
            </w:pPr>
            <w:r>
              <w:rPr>
                <w:rFonts w:ascii="Calibri" w:hAnsi="Calibri"/>
                <w:color w:val="333333"/>
                <w:sz w:val="19"/>
              </w:rPr>
              <w:t>Object / Category</w:t>
            </w:r>
          </w:p>
        </w:tc>
        <w:tc>
          <w:tcPr>
            <w:tcW w:type="dxa" w:w="3312"/>
            <w:shd w:fill="FFFFFF"/>
            <w:tcMar>
              <w:top w:w="80" w:type="dxa"/>
              <w:bottom w:w="80" w:type="dxa"/>
              <w:left w:w="120" w:type="dxa"/>
              <w:right w:w="120" w:type="dxa"/>
            </w:tcMar>
          </w:tcPr>
          <w:p>
            <w:pPr>
              <w:jc w:val="center"/>
            </w:pPr>
            <w:r>
              <w:rPr>
                <w:rFonts w:ascii="Calibri" w:hAnsi="Calibri"/>
                <w:color w:val="333333"/>
                <w:sz w:val="19"/>
              </w:rPr>
              <w:t>Maturity rating (e.g., TV-MA, TV-14, R)</w:t>
            </w:r>
          </w:p>
        </w:tc>
        <w:tc>
          <w:tcPr>
            <w:tcW w:type="dxa" w:w="2592"/>
            <w:shd w:fill="FFFFFF"/>
            <w:tcMar>
              <w:top w:w="80" w:type="dxa"/>
              <w:bottom w:w="80" w:type="dxa"/>
              <w:left w:w="120" w:type="dxa"/>
              <w:right w:w="120" w:type="dxa"/>
            </w:tcMar>
          </w:tcPr>
          <w:p>
            <w:pPr>
              <w:jc w:val="center"/>
            </w:pPr>
            <w:r>
              <w:rPr>
                <w:rFonts w:ascii="Calibri" w:hAnsi="Calibri"/>
                <w:color w:val="333333"/>
                <w:sz w:val="19"/>
              </w:rPr>
              <w:t>Standardized; missing imputed with mode ('TV-MA')</w:t>
            </w:r>
          </w:p>
        </w:tc>
      </w:tr>
      <w:tr>
        <w:tc>
          <w:tcPr>
            <w:tcW w:type="dxa" w:w="1728"/>
            <w:shd w:fill="F9FAFC"/>
            <w:tcMar>
              <w:top w:w="80" w:type="dxa"/>
              <w:bottom w:w="80" w:type="dxa"/>
              <w:left w:w="120" w:type="dxa"/>
              <w:right w:w="120" w:type="dxa"/>
            </w:tcMar>
          </w:tcPr>
          <w:p>
            <w:pPr>
              <w:jc w:val="left"/>
            </w:pPr>
            <w:r>
              <w:rPr>
                <w:rFonts w:ascii="Calibri" w:hAnsi="Calibri"/>
                <w:color w:val="333333"/>
                <w:sz w:val="19"/>
              </w:rPr>
              <w:t>duration</w:t>
            </w:r>
          </w:p>
        </w:tc>
        <w:tc>
          <w:tcPr>
            <w:tcW w:type="dxa" w:w="1728"/>
            <w:shd w:fill="F9FAFC"/>
            <w:tcMar>
              <w:top w:w="80" w:type="dxa"/>
              <w:bottom w:w="80" w:type="dxa"/>
              <w:left w:w="120" w:type="dxa"/>
              <w:right w:w="120" w:type="dxa"/>
            </w:tcMar>
          </w:tcPr>
          <w:p>
            <w:pPr>
              <w:jc w:val="center"/>
            </w:pPr>
            <w:r>
              <w:rPr>
                <w:rFonts w:ascii="Calibri" w:hAnsi="Calibri"/>
                <w:color w:val="333333"/>
                <w:sz w:val="19"/>
              </w:rPr>
              <w:t>Object / String</w:t>
            </w:r>
          </w:p>
        </w:tc>
        <w:tc>
          <w:tcPr>
            <w:tcW w:type="dxa" w:w="3312"/>
            <w:shd w:fill="F9FAFC"/>
            <w:tcMar>
              <w:top w:w="80" w:type="dxa"/>
              <w:bottom w:w="80" w:type="dxa"/>
              <w:left w:w="120" w:type="dxa"/>
              <w:right w:w="120" w:type="dxa"/>
            </w:tcMar>
          </w:tcPr>
          <w:p>
            <w:pPr>
              <w:jc w:val="center"/>
            </w:pPr>
            <w:r>
              <w:rPr>
                <w:rFonts w:ascii="Calibri" w:hAnsi="Calibri"/>
                <w:color w:val="333333"/>
                <w:sz w:val="19"/>
              </w:rPr>
              <w:t>Raw runtime string ('90 min', '1 Season')</w:t>
            </w:r>
          </w:p>
        </w:tc>
        <w:tc>
          <w:tcPr>
            <w:tcW w:type="dxa" w:w="2592"/>
            <w:shd w:fill="F9FAFC"/>
            <w:tcMar>
              <w:top w:w="80" w:type="dxa"/>
              <w:bottom w:w="80" w:type="dxa"/>
              <w:left w:w="120" w:type="dxa"/>
              <w:right w:w="120" w:type="dxa"/>
            </w:tcMar>
          </w:tcPr>
          <w:p>
            <w:pPr>
              <w:jc w:val="center"/>
            </w:pPr>
            <w:r>
              <w:rPr>
                <w:rFonts w:ascii="Calibri" w:hAnsi="Calibri"/>
                <w:color w:val="333333"/>
                <w:sz w:val="19"/>
              </w:rPr>
              <w:t>Parsed into `duration_int` and `duration_unit`</w:t>
            </w:r>
          </w:p>
        </w:tc>
      </w:tr>
      <w:tr>
        <w:tc>
          <w:tcPr>
            <w:tcW w:type="dxa" w:w="1728"/>
            <w:shd w:fill="FFFFFF"/>
            <w:tcMar>
              <w:top w:w="80" w:type="dxa"/>
              <w:bottom w:w="80" w:type="dxa"/>
              <w:left w:w="120" w:type="dxa"/>
              <w:right w:w="120" w:type="dxa"/>
            </w:tcMar>
          </w:tcPr>
          <w:p>
            <w:pPr>
              <w:jc w:val="left"/>
            </w:pPr>
            <w:r>
              <w:rPr>
                <w:rFonts w:ascii="Calibri" w:hAnsi="Calibri"/>
                <w:color w:val="333333"/>
                <w:sz w:val="19"/>
              </w:rPr>
              <w:t>listed_in</w:t>
            </w:r>
          </w:p>
        </w:tc>
        <w:tc>
          <w:tcPr>
            <w:tcW w:type="dxa" w:w="1728"/>
            <w:shd w:fill="FFFFFF"/>
            <w:tcMar>
              <w:top w:w="80" w:type="dxa"/>
              <w:bottom w:w="80" w:type="dxa"/>
              <w:left w:w="120" w:type="dxa"/>
              <w:right w:w="120" w:type="dxa"/>
            </w:tcMar>
          </w:tcPr>
          <w:p>
            <w:pPr>
              <w:jc w:val="center"/>
            </w:pPr>
            <w:r>
              <w:rPr>
                <w:rFonts w:ascii="Calibri" w:hAnsi="Calibri"/>
                <w:color w:val="333333"/>
                <w:sz w:val="19"/>
              </w:rPr>
              <w:t>Object / String</w:t>
            </w:r>
          </w:p>
        </w:tc>
        <w:tc>
          <w:tcPr>
            <w:tcW w:type="dxa" w:w="3312"/>
            <w:shd w:fill="FFFFFF"/>
            <w:tcMar>
              <w:top w:w="80" w:type="dxa"/>
              <w:bottom w:w="80" w:type="dxa"/>
              <w:left w:w="120" w:type="dxa"/>
              <w:right w:w="120" w:type="dxa"/>
            </w:tcMar>
          </w:tcPr>
          <w:p>
            <w:pPr>
              <w:jc w:val="center"/>
            </w:pPr>
            <w:r>
              <w:rPr>
                <w:rFonts w:ascii="Calibri" w:hAnsi="Calibri"/>
                <w:color w:val="333333"/>
                <w:sz w:val="19"/>
              </w:rPr>
              <w:t>Genre classifications (comma-separated)</w:t>
            </w:r>
          </w:p>
        </w:tc>
        <w:tc>
          <w:tcPr>
            <w:tcW w:type="dxa" w:w="2592"/>
            <w:shd w:fill="FFFFFF"/>
            <w:tcMar>
              <w:top w:w="80" w:type="dxa"/>
              <w:bottom w:w="80" w:type="dxa"/>
              <w:left w:w="120" w:type="dxa"/>
              <w:right w:w="120" w:type="dxa"/>
            </w:tcMar>
          </w:tcPr>
          <w:p>
            <w:pPr>
              <w:jc w:val="center"/>
            </w:pPr>
            <w:r>
              <w:rPr>
                <w:rFonts w:ascii="Calibri" w:hAnsi="Calibri"/>
                <w:color w:val="333333"/>
                <w:sz w:val="19"/>
              </w:rPr>
              <w:t>Extracted `primary_genre` and unnested genres</w:t>
            </w:r>
          </w:p>
        </w:tc>
      </w:tr>
      <w:tr>
        <w:tc>
          <w:tcPr>
            <w:tcW w:type="dxa" w:w="1728"/>
            <w:shd w:fill="F9FAFC"/>
            <w:tcMar>
              <w:top w:w="80" w:type="dxa"/>
              <w:bottom w:w="80" w:type="dxa"/>
              <w:left w:w="120" w:type="dxa"/>
              <w:right w:w="120" w:type="dxa"/>
            </w:tcMar>
          </w:tcPr>
          <w:p>
            <w:pPr>
              <w:jc w:val="left"/>
            </w:pPr>
            <w:r>
              <w:rPr>
                <w:rFonts w:ascii="Calibri" w:hAnsi="Calibri"/>
                <w:color w:val="333333"/>
                <w:sz w:val="19"/>
              </w:rPr>
              <w:t>description</w:t>
            </w:r>
          </w:p>
        </w:tc>
        <w:tc>
          <w:tcPr>
            <w:tcW w:type="dxa" w:w="1728"/>
            <w:shd w:fill="F9FAFC"/>
            <w:tcMar>
              <w:top w:w="80" w:type="dxa"/>
              <w:bottom w:w="80" w:type="dxa"/>
              <w:left w:w="120" w:type="dxa"/>
              <w:right w:w="120" w:type="dxa"/>
            </w:tcMar>
          </w:tcPr>
          <w:p>
            <w:pPr>
              <w:jc w:val="center"/>
            </w:pPr>
            <w:r>
              <w:rPr>
                <w:rFonts w:ascii="Calibri" w:hAnsi="Calibri"/>
                <w:color w:val="333333"/>
                <w:sz w:val="19"/>
              </w:rPr>
              <w:t>Object / String</w:t>
            </w:r>
          </w:p>
        </w:tc>
        <w:tc>
          <w:tcPr>
            <w:tcW w:type="dxa" w:w="3312"/>
            <w:shd w:fill="F9FAFC"/>
            <w:tcMar>
              <w:top w:w="80" w:type="dxa"/>
              <w:bottom w:w="80" w:type="dxa"/>
              <w:left w:w="120" w:type="dxa"/>
              <w:right w:w="120" w:type="dxa"/>
            </w:tcMar>
          </w:tcPr>
          <w:p>
            <w:pPr>
              <w:jc w:val="center"/>
            </w:pPr>
            <w:r>
              <w:rPr>
                <w:rFonts w:ascii="Calibri" w:hAnsi="Calibri"/>
                <w:color w:val="333333"/>
                <w:sz w:val="19"/>
              </w:rPr>
              <w:t>Short textual summary of title</w:t>
            </w:r>
          </w:p>
        </w:tc>
        <w:tc>
          <w:tcPr>
            <w:tcW w:type="dxa" w:w="2592"/>
            <w:shd w:fill="F9FAFC"/>
            <w:tcMar>
              <w:top w:w="80" w:type="dxa"/>
              <w:bottom w:w="80" w:type="dxa"/>
              <w:left w:w="120" w:type="dxa"/>
              <w:right w:w="120" w:type="dxa"/>
            </w:tcMar>
          </w:tcPr>
          <w:p>
            <w:pPr>
              <w:jc w:val="center"/>
            </w:pPr>
            <w:r>
              <w:rPr>
                <w:rFonts w:ascii="Calibri" w:hAnsi="Calibri"/>
                <w:color w:val="333333"/>
                <w:sz w:val="19"/>
              </w:rPr>
              <w:t>Full text preserved</w:t>
            </w:r>
          </w:p>
        </w:tc>
      </w:tr>
    </w:tbl>
    <w:p>
      <w:pPr>
        <w:spacing w:after="120"/>
      </w:pPr>
    </w:p>
    <w:p>
      <w:pPr>
        <w:keepNext/>
        <w:spacing w:before="320" w:after="120"/>
      </w:pPr>
      <w:r>
        <w:rPr>
          <w:rFonts w:ascii="Calibri" w:hAnsi="Calibri"/>
          <w:b/>
          <w:color w:val="E50914"/>
          <w:sz w:val="36"/>
        </w:rPr>
        <w:t>4. Tools and Technologies</w:t>
      </w:r>
    </w:p>
    <w:p>
      <w:pPr>
        <w:pStyle w:val="ListBullet"/>
        <w:spacing w:before="0" w:after="60" w:line="276" w:lineRule="auto"/>
      </w:pPr>
      <w:r>
        <w:rPr>
          <w:rFonts w:ascii="Calibri" w:hAnsi="Calibri"/>
          <w:b/>
          <w:color w:val="333333"/>
          <w:sz w:val="22"/>
        </w:rPr>
        <w:t xml:space="preserve">Python 3.13: </w:t>
      </w:r>
      <w:r>
        <w:rPr>
          <w:rFonts w:ascii="Calibri" w:hAnsi="Calibri"/>
          <w:color w:val="333333"/>
          <w:sz w:val="22"/>
        </w:rPr>
        <w:t>Core programming environment for data analysis and scripting.</w:t>
      </w:r>
    </w:p>
    <w:p>
      <w:pPr>
        <w:pStyle w:val="ListBullet"/>
        <w:spacing w:before="0" w:after="60" w:line="276" w:lineRule="auto"/>
      </w:pPr>
      <w:r>
        <w:rPr>
          <w:rFonts w:ascii="Calibri" w:hAnsi="Calibri"/>
          <w:b/>
          <w:color w:val="333333"/>
          <w:sz w:val="22"/>
        </w:rPr>
        <w:t xml:space="preserve">Pandas (v2.2+): </w:t>
      </w:r>
      <w:r>
        <w:rPr>
          <w:rFonts w:ascii="Calibri" w:hAnsi="Calibri"/>
          <w:color w:val="333333"/>
          <w:sz w:val="22"/>
        </w:rPr>
        <w:t>DataFrame manipulation, string unnesting, crosstab aggregation, and datetime parsing.</w:t>
      </w:r>
    </w:p>
    <w:p>
      <w:pPr>
        <w:pStyle w:val="ListBullet"/>
        <w:spacing w:before="0" w:after="60" w:line="276" w:lineRule="auto"/>
      </w:pPr>
      <w:r>
        <w:rPr>
          <w:rFonts w:ascii="Calibri" w:hAnsi="Calibri"/>
          <w:b/>
          <w:color w:val="333333"/>
          <w:sz w:val="22"/>
        </w:rPr>
        <w:t xml:space="preserve">NumPy: </w:t>
      </w:r>
      <w:r>
        <w:rPr>
          <w:rFonts w:ascii="Calibri" w:hAnsi="Calibri"/>
          <w:color w:val="333333"/>
          <w:sz w:val="22"/>
        </w:rPr>
        <w:t>High-performance vector operations, array computing, and descriptive stats.</w:t>
      </w:r>
    </w:p>
    <w:p>
      <w:pPr>
        <w:pStyle w:val="ListBullet"/>
        <w:spacing w:before="0" w:after="60" w:line="276" w:lineRule="auto"/>
      </w:pPr>
      <w:r>
        <w:rPr>
          <w:rFonts w:ascii="Calibri" w:hAnsi="Calibri"/>
          <w:b/>
          <w:color w:val="333333"/>
          <w:sz w:val="22"/>
        </w:rPr>
        <w:t xml:space="preserve">Matplotlib: </w:t>
      </w:r>
      <w:r>
        <w:rPr>
          <w:rFonts w:ascii="Calibri" w:hAnsi="Calibri"/>
          <w:color w:val="333333"/>
          <w:sz w:val="22"/>
        </w:rPr>
        <w:t>Core plotting engine for multi-panel figures, annotations, and customized layouts.</w:t>
      </w:r>
    </w:p>
    <w:p>
      <w:pPr>
        <w:pStyle w:val="ListBullet"/>
        <w:spacing w:before="0" w:after="60" w:line="276" w:lineRule="auto"/>
      </w:pPr>
      <w:r>
        <w:rPr>
          <w:rFonts w:ascii="Calibri" w:hAnsi="Calibri"/>
          <w:b/>
          <w:color w:val="333333"/>
          <w:sz w:val="22"/>
        </w:rPr>
        <w:t xml:space="preserve">Seaborn: </w:t>
      </w:r>
      <w:r>
        <w:rPr>
          <w:rFonts w:ascii="Calibri" w:hAnsi="Calibri"/>
          <w:color w:val="333333"/>
          <w:sz w:val="22"/>
        </w:rPr>
        <w:t>Statistical visualization layer for distribution plots, boxplots, and heatmaps.</w:t>
      </w:r>
    </w:p>
    <w:p>
      <w:pPr>
        <w:pStyle w:val="ListBullet"/>
        <w:spacing w:before="0" w:after="60" w:line="276" w:lineRule="auto"/>
      </w:pPr>
      <w:r>
        <w:rPr>
          <w:rFonts w:ascii="Calibri" w:hAnsi="Calibri"/>
          <w:b/>
          <w:color w:val="333333"/>
          <w:sz w:val="22"/>
        </w:rPr>
        <w:t xml:space="preserve">SciPy: </w:t>
      </w:r>
      <w:r>
        <w:rPr>
          <w:rFonts w:ascii="Calibri" w:hAnsi="Calibri"/>
          <w:color w:val="333333"/>
          <w:sz w:val="22"/>
        </w:rPr>
        <w:t>Module `scipy.stats` for Chi-Square tests of independence, ANOVA, and Kruskal-Wallis tests.</w:t>
      </w:r>
    </w:p>
    <w:p>
      <w:pPr>
        <w:pStyle w:val="ListBullet"/>
        <w:spacing w:before="0" w:after="60" w:line="276" w:lineRule="auto"/>
      </w:pPr>
      <w:r>
        <w:rPr>
          <w:rFonts w:ascii="Calibri" w:hAnsi="Calibri"/>
          <w:b/>
          <w:color w:val="333333"/>
          <w:sz w:val="22"/>
        </w:rPr>
        <w:t xml:space="preserve">Jupyter Notebook: </w:t>
      </w:r>
      <w:r>
        <w:rPr>
          <w:rFonts w:ascii="Calibri" w:hAnsi="Calibri"/>
          <w:color w:val="333333"/>
          <w:sz w:val="22"/>
        </w:rPr>
        <w:t>Interactive notebook environment for reproducible code execution and inline rendering.</w:t>
      </w:r>
    </w:p>
    <w:p>
      <w:pPr>
        <w:keepNext/>
        <w:spacing w:before="320" w:after="120"/>
      </w:pPr>
      <w:r>
        <w:rPr>
          <w:rFonts w:ascii="Calibri" w:hAnsi="Calibri"/>
          <w:b/>
          <w:color w:val="E50914"/>
          <w:sz w:val="36"/>
        </w:rPr>
        <w:t>5. Methodology</w:t>
      </w:r>
    </w:p>
    <w:p>
      <w:pPr>
        <w:spacing w:before="0" w:after="120" w:line="276" w:lineRule="auto"/>
      </w:pPr>
      <w:r>
        <w:rPr>
          <w:rFonts w:ascii="Calibri" w:hAnsi="Calibri"/>
          <w:color w:val="333333"/>
          <w:sz w:val="22"/>
        </w:rPr>
        <w:t>The exploratory analysis followed a structured 6-step analytical pipeline to guarantee reproducibility and rigorous insights:</w:t>
      </w:r>
    </w:p>
    <w:p>
      <w:pPr>
        <w:pStyle w:val="ListBullet"/>
        <w:spacing w:before="0" w:after="60" w:line="276" w:lineRule="auto"/>
      </w:pPr>
      <w:r>
        <w:rPr>
          <w:rFonts w:ascii="Calibri" w:hAnsi="Calibri"/>
          <w:b/>
          <w:color w:val="333333"/>
          <w:sz w:val="22"/>
        </w:rPr>
        <w:t xml:space="preserve">Step 1: Data Ingestion — </w:t>
      </w:r>
      <w:r>
        <w:rPr>
          <w:rFonts w:ascii="Calibri" w:hAnsi="Calibri"/>
          <w:color w:val="333333"/>
          <w:sz w:val="22"/>
        </w:rPr>
        <w:t>Importing cleaned dataset (`netflix_cleaned.csv`) and processed dataset (`netflix_processed.csv`).</w:t>
      </w:r>
    </w:p>
    <w:p>
      <w:pPr>
        <w:pStyle w:val="ListBullet"/>
        <w:spacing w:before="0" w:after="60" w:line="276" w:lineRule="auto"/>
      </w:pPr>
      <w:r>
        <w:rPr>
          <w:rFonts w:ascii="Calibri" w:hAnsi="Calibri"/>
          <w:b/>
          <w:color w:val="333333"/>
          <w:sz w:val="22"/>
        </w:rPr>
        <w:t xml:space="preserve">Step 2: Structural Verification — </w:t>
      </w:r>
      <w:r>
        <w:rPr>
          <w:rFonts w:ascii="Calibri" w:hAnsi="Calibri"/>
          <w:color w:val="333333"/>
          <w:sz w:val="22"/>
        </w:rPr>
        <w:t>Checking dimensions (7,787 × 28), verifying non-null counts, and validating feature types.</w:t>
      </w:r>
    </w:p>
    <w:p>
      <w:pPr>
        <w:pStyle w:val="ListBullet"/>
        <w:spacing w:before="0" w:after="60" w:line="276" w:lineRule="auto"/>
      </w:pPr>
      <w:r>
        <w:rPr>
          <w:rFonts w:ascii="Calibri" w:hAnsi="Calibri"/>
          <w:b/>
          <w:color w:val="333333"/>
          <w:sz w:val="22"/>
        </w:rPr>
        <w:t xml:space="preserve">Step 3: Univariate Distribution Analysis — </w:t>
      </w:r>
      <w:r>
        <w:rPr>
          <w:rFonts w:ascii="Calibri" w:hAnsi="Calibri"/>
          <w:color w:val="333333"/>
          <w:sz w:val="22"/>
        </w:rPr>
        <w:t>Computing central tendency, variance, skewness, and interquartile ranges.</w:t>
      </w:r>
    </w:p>
    <w:p>
      <w:pPr>
        <w:pStyle w:val="ListBullet"/>
        <w:spacing w:before="0" w:after="60" w:line="276" w:lineRule="auto"/>
      </w:pPr>
      <w:r>
        <w:rPr>
          <w:rFonts w:ascii="Calibri" w:hAnsi="Calibri"/>
          <w:b/>
          <w:color w:val="333333"/>
          <w:sz w:val="22"/>
        </w:rPr>
        <w:t xml:space="preserve">Step 4: Unnesting &amp; Bivariate Crosstabs — </w:t>
      </w:r>
      <w:r>
        <w:rPr>
          <w:rFonts w:ascii="Calibri" w:hAnsi="Calibri"/>
          <w:color w:val="333333"/>
          <w:sz w:val="22"/>
        </w:rPr>
        <w:t>Exploding multi-valued fields (`country` and `listed_in`) to avoid multi-country and multi-genre count truncation.</w:t>
      </w:r>
    </w:p>
    <w:p>
      <w:pPr>
        <w:pStyle w:val="ListBullet"/>
        <w:spacing w:before="0" w:after="60" w:line="276" w:lineRule="auto"/>
      </w:pPr>
      <w:r>
        <w:rPr>
          <w:rFonts w:ascii="Calibri" w:hAnsi="Calibri"/>
          <w:b/>
          <w:color w:val="333333"/>
          <w:sz w:val="22"/>
        </w:rPr>
        <w:t xml:space="preserve">Step 5: Visual Feature Engineering — </w:t>
      </w:r>
      <w:r>
        <w:rPr>
          <w:rFonts w:ascii="Calibri" w:hAnsi="Calibri"/>
          <w:color w:val="333333"/>
          <w:sz w:val="22"/>
        </w:rPr>
        <w:t>Constructing 12 publication-quality visualizations using consistent color palettes.</w:t>
      </w:r>
    </w:p>
    <w:p>
      <w:pPr>
        <w:pStyle w:val="ListBullet"/>
        <w:spacing w:before="0" w:after="60" w:line="276" w:lineRule="auto"/>
      </w:pPr>
      <w:r>
        <w:rPr>
          <w:rFonts w:ascii="Calibri" w:hAnsi="Calibri"/>
          <w:b/>
          <w:color w:val="333333"/>
          <w:sz w:val="22"/>
        </w:rPr>
        <w:t xml:space="preserve">Step 6: Statistical Hypothesis Testing — </w:t>
      </w:r>
      <w:r>
        <w:rPr>
          <w:rFonts w:ascii="Calibri" w:hAnsi="Calibri"/>
          <w:color w:val="333333"/>
          <w:sz w:val="22"/>
        </w:rPr>
        <w:t>Executing Chi-Square tests of independence and ANOVA variance analysis.</w:t>
      </w:r>
    </w:p>
    <w:p>
      <w:pPr>
        <w:keepNext/>
        <w:spacing w:before="320" w:after="120"/>
      </w:pPr>
      <w:r>
        <w:rPr>
          <w:rFonts w:ascii="Calibri" w:hAnsi="Calibri"/>
          <w:b/>
          <w:color w:val="E50914"/>
          <w:sz w:val="36"/>
        </w:rPr>
        <w:t>6. Initial Exploratory Analysis</w:t>
      </w:r>
    </w:p>
    <w:p>
      <w:pPr>
        <w:spacing w:before="0" w:after="120" w:line="276" w:lineRule="auto"/>
      </w:pPr>
      <w:r>
        <w:rPr>
          <w:rFonts w:ascii="Calibri" w:hAnsi="Calibri"/>
          <w:color w:val="333333"/>
          <w:sz w:val="22"/>
        </w:rPr>
        <w:t>An initial quantitative summary of key numerical variables highlights significant structural differences across metadata fields: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A5276"/>
            <w:tcMar>
              <w:top w:w="100" w:type="dxa"/>
              <w:bottom w:w="100" w:type="dxa"/>
              <w:left w:w="120" w:type="dxa"/>
              <w:right w:w="120" w:type="dxa"/>
            </w:tcMar>
          </w:tcPr>
          <w:p>
            <w:pPr>
              <w:jc w:val="center"/>
            </w:pPr>
            <w:r>
              <w:rPr>
                <w:rFonts w:ascii="Calibri" w:hAnsi="Calibri"/>
                <w:b/>
                <w:color w:val="FFFFFF"/>
                <w:sz w:val="20"/>
              </w:rPr>
              <w:t>Metric / Variable</w:t>
            </w:r>
          </w:p>
        </w:tc>
        <w:tc>
          <w:tcPr>
            <w:tcW w:type="dxa" w:w="1440"/>
            <w:shd w:fill="1A5276"/>
            <w:tcMar>
              <w:top w:w="100" w:type="dxa"/>
              <w:bottom w:w="100" w:type="dxa"/>
              <w:left w:w="120" w:type="dxa"/>
              <w:right w:w="120" w:type="dxa"/>
            </w:tcMar>
          </w:tcPr>
          <w:p>
            <w:pPr>
              <w:jc w:val="center"/>
            </w:pPr>
            <w:r>
              <w:rPr>
                <w:rFonts w:ascii="Calibri" w:hAnsi="Calibri"/>
                <w:b/>
                <w:color w:val="FFFFFF"/>
                <w:sz w:val="20"/>
              </w:rPr>
              <w:t>Release Year</w:t>
            </w:r>
          </w:p>
        </w:tc>
        <w:tc>
          <w:tcPr>
            <w:tcW w:type="dxa" w:w="1728"/>
            <w:shd w:fill="1A5276"/>
            <w:tcMar>
              <w:top w:w="100" w:type="dxa"/>
              <w:bottom w:w="100" w:type="dxa"/>
              <w:left w:w="120" w:type="dxa"/>
              <w:right w:w="120" w:type="dxa"/>
            </w:tcMar>
          </w:tcPr>
          <w:p>
            <w:pPr>
              <w:jc w:val="center"/>
            </w:pPr>
            <w:r>
              <w:rPr>
                <w:rFonts w:ascii="Calibri" w:hAnsi="Calibri"/>
                <w:b/>
                <w:color w:val="FFFFFF"/>
                <w:sz w:val="20"/>
              </w:rPr>
              <w:t>Movie Duration (min)</w:t>
            </w:r>
          </w:p>
        </w:tc>
        <w:tc>
          <w:tcPr>
            <w:tcW w:type="dxa" w:w="1728"/>
            <w:shd w:fill="1A5276"/>
            <w:tcMar>
              <w:top w:w="100" w:type="dxa"/>
              <w:bottom w:w="100" w:type="dxa"/>
              <w:left w:w="120" w:type="dxa"/>
              <w:right w:w="120" w:type="dxa"/>
            </w:tcMar>
          </w:tcPr>
          <w:p>
            <w:pPr>
              <w:jc w:val="center"/>
            </w:pPr>
            <w:r>
              <w:rPr>
                <w:rFonts w:ascii="Calibri" w:hAnsi="Calibri"/>
                <w:b/>
                <w:color w:val="FFFFFF"/>
                <w:sz w:val="20"/>
              </w:rPr>
              <w:t>Content Age Lag (yr)</w:t>
            </w:r>
          </w:p>
        </w:tc>
        <w:tc>
          <w:tcPr>
            <w:tcW w:type="dxa" w:w="1296"/>
            <w:shd w:fill="1A5276"/>
            <w:tcMar>
              <w:top w:w="100" w:type="dxa"/>
              <w:bottom w:w="100" w:type="dxa"/>
              <w:left w:w="120" w:type="dxa"/>
              <w:right w:w="120" w:type="dxa"/>
            </w:tcMar>
          </w:tcPr>
          <w:p>
            <w:pPr>
              <w:jc w:val="center"/>
            </w:pPr>
            <w:r>
              <w:rPr>
                <w:rFonts w:ascii="Calibri" w:hAnsi="Calibri"/>
                <w:b/>
                <w:color w:val="FFFFFF"/>
                <w:sz w:val="20"/>
              </w:rPr>
              <w:t>Cast Count</w:t>
            </w:r>
          </w:p>
        </w:tc>
        <w:tc>
          <w:tcPr>
            <w:tcW w:type="dxa" w:w="1296"/>
            <w:shd w:fill="1A5276"/>
            <w:tcMar>
              <w:top w:w="100" w:type="dxa"/>
              <w:bottom w:w="100" w:type="dxa"/>
              <w:left w:w="120" w:type="dxa"/>
              <w:right w:w="120" w:type="dxa"/>
            </w:tcMar>
          </w:tcPr>
          <w:p>
            <w:pPr>
              <w:jc w:val="center"/>
            </w:pPr>
            <w:r>
              <w:rPr>
                <w:rFonts w:ascii="Calibri" w:hAnsi="Calibri"/>
                <w:b/>
                <w:color w:val="FFFFFF"/>
                <w:sz w:val="20"/>
              </w:rPr>
              <w:t>Country Count</w:t>
            </w:r>
          </w:p>
        </w:tc>
      </w:tr>
      <w:tr>
        <w:tc>
          <w:tcPr>
            <w:tcW w:type="dxa" w:w="2592"/>
            <w:shd w:fill="FFFFFF"/>
            <w:tcMar>
              <w:top w:w="80" w:type="dxa"/>
              <w:bottom w:w="80" w:type="dxa"/>
              <w:left w:w="120" w:type="dxa"/>
              <w:right w:w="120" w:type="dxa"/>
            </w:tcMar>
          </w:tcPr>
          <w:p>
            <w:pPr>
              <w:jc w:val="left"/>
            </w:pPr>
            <w:r>
              <w:rPr>
                <w:rFonts w:ascii="Calibri" w:hAnsi="Calibri"/>
                <w:color w:val="333333"/>
                <w:sz w:val="19"/>
              </w:rPr>
              <w:t>Count (Non-Null)</w:t>
            </w:r>
          </w:p>
        </w:tc>
        <w:tc>
          <w:tcPr>
            <w:tcW w:type="dxa" w:w="1440"/>
            <w:shd w:fill="FFFFFF"/>
            <w:tcMar>
              <w:top w:w="80" w:type="dxa"/>
              <w:bottom w:w="80" w:type="dxa"/>
              <w:left w:w="120" w:type="dxa"/>
              <w:right w:w="120" w:type="dxa"/>
            </w:tcMar>
          </w:tcPr>
          <w:p>
            <w:pPr>
              <w:jc w:val="center"/>
            </w:pPr>
            <w:r>
              <w:rPr>
                <w:rFonts w:ascii="Calibri" w:hAnsi="Calibri"/>
                <w:color w:val="333333"/>
                <w:sz w:val="19"/>
              </w:rPr>
              <w:t>7,787</w:t>
            </w:r>
          </w:p>
        </w:tc>
        <w:tc>
          <w:tcPr>
            <w:tcW w:type="dxa" w:w="1728"/>
            <w:shd w:fill="FFFFFF"/>
            <w:tcMar>
              <w:top w:w="80" w:type="dxa"/>
              <w:bottom w:w="80" w:type="dxa"/>
              <w:left w:w="120" w:type="dxa"/>
              <w:right w:w="120" w:type="dxa"/>
            </w:tcMar>
          </w:tcPr>
          <w:p>
            <w:pPr>
              <w:jc w:val="center"/>
            </w:pPr>
            <w:r>
              <w:rPr>
                <w:rFonts w:ascii="Calibri" w:hAnsi="Calibri"/>
                <w:color w:val="333333"/>
                <w:sz w:val="19"/>
              </w:rPr>
              <w:t>5,377</w:t>
            </w:r>
          </w:p>
        </w:tc>
        <w:tc>
          <w:tcPr>
            <w:tcW w:type="dxa" w:w="1728"/>
            <w:shd w:fill="FFFFFF"/>
            <w:tcMar>
              <w:top w:w="80" w:type="dxa"/>
              <w:bottom w:w="80" w:type="dxa"/>
              <w:left w:w="120" w:type="dxa"/>
              <w:right w:w="120" w:type="dxa"/>
            </w:tcMar>
          </w:tcPr>
          <w:p>
            <w:pPr>
              <w:jc w:val="center"/>
            </w:pPr>
            <w:r>
              <w:rPr>
                <w:rFonts w:ascii="Calibri" w:hAnsi="Calibri"/>
                <w:color w:val="333333"/>
                <w:sz w:val="19"/>
              </w:rPr>
              <w:t>7,787</w:t>
            </w:r>
          </w:p>
        </w:tc>
        <w:tc>
          <w:tcPr>
            <w:tcW w:type="dxa" w:w="1296"/>
            <w:shd w:fill="FFFFFF"/>
            <w:tcMar>
              <w:top w:w="80" w:type="dxa"/>
              <w:bottom w:w="80" w:type="dxa"/>
              <w:left w:w="120" w:type="dxa"/>
              <w:right w:w="120" w:type="dxa"/>
            </w:tcMar>
          </w:tcPr>
          <w:p>
            <w:pPr>
              <w:jc w:val="center"/>
            </w:pPr>
            <w:r>
              <w:rPr>
                <w:rFonts w:ascii="Calibri" w:hAnsi="Calibri"/>
                <w:color w:val="333333"/>
                <w:sz w:val="19"/>
              </w:rPr>
              <w:t>7,787</w:t>
            </w:r>
          </w:p>
        </w:tc>
        <w:tc>
          <w:tcPr>
            <w:tcW w:type="dxa" w:w="1296"/>
            <w:shd w:fill="FFFFFF"/>
            <w:tcMar>
              <w:top w:w="80" w:type="dxa"/>
              <w:bottom w:w="80" w:type="dxa"/>
              <w:left w:w="120" w:type="dxa"/>
              <w:right w:w="120" w:type="dxa"/>
            </w:tcMar>
          </w:tcPr>
          <w:p>
            <w:pPr>
              <w:jc w:val="center"/>
            </w:pPr>
            <w:r>
              <w:rPr>
                <w:rFonts w:ascii="Calibri" w:hAnsi="Calibri"/>
                <w:color w:val="333333"/>
                <w:sz w:val="19"/>
              </w:rPr>
              <w:t>7,787</w:t>
            </w:r>
          </w:p>
        </w:tc>
      </w:tr>
      <w:tr>
        <w:tc>
          <w:tcPr>
            <w:tcW w:type="dxa" w:w="2592"/>
            <w:shd w:fill="F9FAFC"/>
            <w:tcMar>
              <w:top w:w="80" w:type="dxa"/>
              <w:bottom w:w="80" w:type="dxa"/>
              <w:left w:w="120" w:type="dxa"/>
              <w:right w:w="120" w:type="dxa"/>
            </w:tcMar>
          </w:tcPr>
          <w:p>
            <w:pPr>
              <w:jc w:val="left"/>
            </w:pPr>
            <w:r>
              <w:rPr>
                <w:rFonts w:ascii="Calibri" w:hAnsi="Calibri"/>
                <w:color w:val="333333"/>
                <w:sz w:val="19"/>
              </w:rPr>
              <w:t>Mean</w:t>
            </w:r>
          </w:p>
        </w:tc>
        <w:tc>
          <w:tcPr>
            <w:tcW w:type="dxa" w:w="1440"/>
            <w:shd w:fill="F9FAFC"/>
            <w:tcMar>
              <w:top w:w="80" w:type="dxa"/>
              <w:bottom w:w="80" w:type="dxa"/>
              <w:left w:w="120" w:type="dxa"/>
              <w:right w:w="120" w:type="dxa"/>
            </w:tcMar>
          </w:tcPr>
          <w:p>
            <w:pPr>
              <w:jc w:val="center"/>
            </w:pPr>
            <w:r>
              <w:rPr>
                <w:rFonts w:ascii="Calibri" w:hAnsi="Calibri"/>
                <w:color w:val="333333"/>
                <w:sz w:val="19"/>
              </w:rPr>
              <w:t>2013.93</w:t>
            </w:r>
          </w:p>
        </w:tc>
        <w:tc>
          <w:tcPr>
            <w:tcW w:type="dxa" w:w="1728"/>
            <w:shd w:fill="F9FAFC"/>
            <w:tcMar>
              <w:top w:w="80" w:type="dxa"/>
              <w:bottom w:w="80" w:type="dxa"/>
              <w:left w:w="120" w:type="dxa"/>
              <w:right w:w="120" w:type="dxa"/>
            </w:tcMar>
          </w:tcPr>
          <w:p>
            <w:pPr>
              <w:jc w:val="center"/>
            </w:pPr>
            <w:r>
              <w:rPr>
                <w:rFonts w:ascii="Calibri" w:hAnsi="Calibri"/>
                <w:color w:val="333333"/>
                <w:sz w:val="19"/>
              </w:rPr>
              <w:t>99.31</w:t>
            </w:r>
          </w:p>
        </w:tc>
        <w:tc>
          <w:tcPr>
            <w:tcW w:type="dxa" w:w="1728"/>
            <w:shd w:fill="F9FAFC"/>
            <w:tcMar>
              <w:top w:w="80" w:type="dxa"/>
              <w:bottom w:w="80" w:type="dxa"/>
              <w:left w:w="120" w:type="dxa"/>
              <w:right w:w="120" w:type="dxa"/>
            </w:tcMar>
          </w:tcPr>
          <w:p>
            <w:pPr>
              <w:jc w:val="center"/>
            </w:pPr>
            <w:r>
              <w:rPr>
                <w:rFonts w:ascii="Calibri" w:hAnsi="Calibri"/>
                <w:color w:val="333333"/>
                <w:sz w:val="19"/>
              </w:rPr>
              <w:t>5.28</w:t>
            </w:r>
          </w:p>
        </w:tc>
        <w:tc>
          <w:tcPr>
            <w:tcW w:type="dxa" w:w="1296"/>
            <w:shd w:fill="F9FAFC"/>
            <w:tcMar>
              <w:top w:w="80" w:type="dxa"/>
              <w:bottom w:w="80" w:type="dxa"/>
              <w:left w:w="120" w:type="dxa"/>
              <w:right w:w="120" w:type="dxa"/>
            </w:tcMar>
          </w:tcPr>
          <w:p>
            <w:pPr>
              <w:jc w:val="center"/>
            </w:pPr>
            <w:r>
              <w:rPr>
                <w:rFonts w:ascii="Calibri" w:hAnsi="Calibri"/>
                <w:color w:val="333333"/>
                <w:sz w:val="19"/>
              </w:rPr>
              <w:t>6.35</w:t>
            </w:r>
          </w:p>
        </w:tc>
        <w:tc>
          <w:tcPr>
            <w:tcW w:type="dxa" w:w="1296"/>
            <w:shd w:fill="F9FAFC"/>
            <w:tcMar>
              <w:top w:w="80" w:type="dxa"/>
              <w:bottom w:w="80" w:type="dxa"/>
              <w:left w:w="120" w:type="dxa"/>
              <w:right w:w="120" w:type="dxa"/>
            </w:tcMar>
          </w:tcPr>
          <w:p>
            <w:pPr>
              <w:jc w:val="center"/>
            </w:pPr>
            <w:r>
              <w:rPr>
                <w:rFonts w:ascii="Calibri" w:hAnsi="Calibri"/>
                <w:color w:val="333333"/>
                <w:sz w:val="19"/>
              </w:rPr>
              <w:t>1.13</w:t>
            </w:r>
          </w:p>
        </w:tc>
      </w:tr>
      <w:tr>
        <w:tc>
          <w:tcPr>
            <w:tcW w:type="dxa" w:w="2592"/>
            <w:shd w:fill="FFFFFF"/>
            <w:tcMar>
              <w:top w:w="80" w:type="dxa"/>
              <w:bottom w:w="80" w:type="dxa"/>
              <w:left w:w="120" w:type="dxa"/>
              <w:right w:w="120" w:type="dxa"/>
            </w:tcMar>
          </w:tcPr>
          <w:p>
            <w:pPr>
              <w:jc w:val="left"/>
            </w:pPr>
            <w:r>
              <w:rPr>
                <w:rFonts w:ascii="Calibri" w:hAnsi="Calibri"/>
                <w:color w:val="333333"/>
                <w:sz w:val="19"/>
              </w:rPr>
              <w:t>Standard Deviation</w:t>
            </w:r>
          </w:p>
        </w:tc>
        <w:tc>
          <w:tcPr>
            <w:tcW w:type="dxa" w:w="1440"/>
            <w:shd w:fill="FFFFFF"/>
            <w:tcMar>
              <w:top w:w="80" w:type="dxa"/>
              <w:bottom w:w="80" w:type="dxa"/>
              <w:left w:w="120" w:type="dxa"/>
              <w:right w:w="120" w:type="dxa"/>
            </w:tcMar>
          </w:tcPr>
          <w:p>
            <w:pPr>
              <w:jc w:val="center"/>
            </w:pPr>
            <w:r>
              <w:rPr>
                <w:rFonts w:ascii="Calibri" w:hAnsi="Calibri"/>
                <w:color w:val="333333"/>
                <w:sz w:val="19"/>
              </w:rPr>
              <w:t>8.76</w:t>
            </w:r>
          </w:p>
        </w:tc>
        <w:tc>
          <w:tcPr>
            <w:tcW w:type="dxa" w:w="1728"/>
            <w:shd w:fill="FFFFFF"/>
            <w:tcMar>
              <w:top w:w="80" w:type="dxa"/>
              <w:bottom w:w="80" w:type="dxa"/>
              <w:left w:w="120" w:type="dxa"/>
              <w:right w:w="120" w:type="dxa"/>
            </w:tcMar>
          </w:tcPr>
          <w:p>
            <w:pPr>
              <w:jc w:val="center"/>
            </w:pPr>
            <w:r>
              <w:rPr>
                <w:rFonts w:ascii="Calibri" w:hAnsi="Calibri"/>
                <w:color w:val="333333"/>
                <w:sz w:val="19"/>
              </w:rPr>
              <w:t>28.53</w:t>
            </w:r>
          </w:p>
        </w:tc>
        <w:tc>
          <w:tcPr>
            <w:tcW w:type="dxa" w:w="1728"/>
            <w:shd w:fill="FFFFFF"/>
            <w:tcMar>
              <w:top w:w="80" w:type="dxa"/>
              <w:bottom w:w="80" w:type="dxa"/>
              <w:left w:w="120" w:type="dxa"/>
              <w:right w:w="120" w:type="dxa"/>
            </w:tcMar>
          </w:tcPr>
          <w:p>
            <w:pPr>
              <w:jc w:val="center"/>
            </w:pPr>
            <w:r>
              <w:rPr>
                <w:rFonts w:ascii="Calibri" w:hAnsi="Calibri"/>
                <w:color w:val="333333"/>
                <w:sz w:val="19"/>
              </w:rPr>
              <w:t>8.76</w:t>
            </w:r>
          </w:p>
        </w:tc>
        <w:tc>
          <w:tcPr>
            <w:tcW w:type="dxa" w:w="1296"/>
            <w:shd w:fill="FFFFFF"/>
            <w:tcMar>
              <w:top w:w="80" w:type="dxa"/>
              <w:bottom w:w="80" w:type="dxa"/>
              <w:left w:w="120" w:type="dxa"/>
              <w:right w:w="120" w:type="dxa"/>
            </w:tcMar>
          </w:tcPr>
          <w:p>
            <w:pPr>
              <w:jc w:val="center"/>
            </w:pPr>
            <w:r>
              <w:rPr>
                <w:rFonts w:ascii="Calibri" w:hAnsi="Calibri"/>
                <w:color w:val="333333"/>
                <w:sz w:val="19"/>
              </w:rPr>
              <w:t>4.08</w:t>
            </w:r>
          </w:p>
        </w:tc>
        <w:tc>
          <w:tcPr>
            <w:tcW w:type="dxa" w:w="1296"/>
            <w:shd w:fill="FFFFFF"/>
            <w:tcMar>
              <w:top w:w="80" w:type="dxa"/>
              <w:bottom w:w="80" w:type="dxa"/>
              <w:left w:w="120" w:type="dxa"/>
              <w:right w:w="120" w:type="dxa"/>
            </w:tcMar>
          </w:tcPr>
          <w:p>
            <w:pPr>
              <w:jc w:val="center"/>
            </w:pPr>
            <w:r>
              <w:rPr>
                <w:rFonts w:ascii="Calibri" w:hAnsi="Calibri"/>
                <w:color w:val="333333"/>
                <w:sz w:val="19"/>
              </w:rPr>
              <w:t>0.78</w:t>
            </w:r>
          </w:p>
        </w:tc>
      </w:tr>
      <w:tr>
        <w:tc>
          <w:tcPr>
            <w:tcW w:type="dxa" w:w="2592"/>
            <w:shd w:fill="F9FAFC"/>
            <w:tcMar>
              <w:top w:w="80" w:type="dxa"/>
              <w:bottom w:w="80" w:type="dxa"/>
              <w:left w:w="120" w:type="dxa"/>
              <w:right w:w="120" w:type="dxa"/>
            </w:tcMar>
          </w:tcPr>
          <w:p>
            <w:pPr>
              <w:jc w:val="left"/>
            </w:pPr>
            <w:r>
              <w:rPr>
                <w:rFonts w:ascii="Calibri" w:hAnsi="Calibri"/>
                <w:color w:val="333333"/>
                <w:sz w:val="19"/>
              </w:rPr>
              <w:t>Minimum</w:t>
            </w:r>
          </w:p>
        </w:tc>
        <w:tc>
          <w:tcPr>
            <w:tcW w:type="dxa" w:w="1440"/>
            <w:shd w:fill="F9FAFC"/>
            <w:tcMar>
              <w:top w:w="80" w:type="dxa"/>
              <w:bottom w:w="80" w:type="dxa"/>
              <w:left w:w="120" w:type="dxa"/>
              <w:right w:w="120" w:type="dxa"/>
            </w:tcMar>
          </w:tcPr>
          <w:p>
            <w:pPr>
              <w:jc w:val="center"/>
            </w:pPr>
            <w:r>
              <w:rPr>
                <w:rFonts w:ascii="Calibri" w:hAnsi="Calibri"/>
                <w:color w:val="333333"/>
                <w:sz w:val="19"/>
              </w:rPr>
              <w:t>1925</w:t>
            </w:r>
          </w:p>
        </w:tc>
        <w:tc>
          <w:tcPr>
            <w:tcW w:type="dxa" w:w="1728"/>
            <w:shd w:fill="F9FAFC"/>
            <w:tcMar>
              <w:top w:w="80" w:type="dxa"/>
              <w:bottom w:w="80" w:type="dxa"/>
              <w:left w:w="120" w:type="dxa"/>
              <w:right w:w="120" w:type="dxa"/>
            </w:tcMar>
          </w:tcPr>
          <w:p>
            <w:pPr>
              <w:jc w:val="center"/>
            </w:pPr>
            <w:r>
              <w:rPr>
                <w:rFonts w:ascii="Calibri" w:hAnsi="Calibri"/>
                <w:color w:val="333333"/>
                <w:sz w:val="19"/>
              </w:rPr>
              <w:t>3.00</w:t>
            </w:r>
          </w:p>
        </w:tc>
        <w:tc>
          <w:tcPr>
            <w:tcW w:type="dxa" w:w="1728"/>
            <w:shd w:fill="F9FAFC"/>
            <w:tcMar>
              <w:top w:w="80" w:type="dxa"/>
              <w:bottom w:w="80" w:type="dxa"/>
              <w:left w:w="120" w:type="dxa"/>
              <w:right w:w="120" w:type="dxa"/>
            </w:tcMar>
          </w:tcPr>
          <w:p>
            <w:pPr>
              <w:jc w:val="center"/>
            </w:pPr>
            <w:r>
              <w:rPr>
                <w:rFonts w:ascii="Calibri" w:hAnsi="Calibri"/>
                <w:color w:val="333333"/>
                <w:sz w:val="19"/>
              </w:rPr>
              <w:t>0.00</w:t>
            </w:r>
          </w:p>
        </w:tc>
        <w:tc>
          <w:tcPr>
            <w:tcW w:type="dxa" w:w="1296"/>
            <w:shd w:fill="F9FAFC"/>
            <w:tcMar>
              <w:top w:w="80" w:type="dxa"/>
              <w:bottom w:w="80" w:type="dxa"/>
              <w:left w:w="120" w:type="dxa"/>
              <w:right w:w="120" w:type="dxa"/>
            </w:tcMar>
          </w:tcPr>
          <w:p>
            <w:pPr>
              <w:jc w:val="center"/>
            </w:pPr>
            <w:r>
              <w:rPr>
                <w:rFonts w:ascii="Calibri" w:hAnsi="Calibri"/>
                <w:color w:val="333333"/>
                <w:sz w:val="19"/>
              </w:rPr>
              <w:t>0</w:t>
            </w:r>
          </w:p>
        </w:tc>
        <w:tc>
          <w:tcPr>
            <w:tcW w:type="dxa" w:w="1296"/>
            <w:shd w:fill="F9FAFC"/>
            <w:tcMar>
              <w:top w:w="80" w:type="dxa"/>
              <w:bottom w:w="80" w:type="dxa"/>
              <w:left w:w="120" w:type="dxa"/>
              <w:right w:w="120" w:type="dxa"/>
            </w:tcMar>
          </w:tcPr>
          <w:p>
            <w:pPr>
              <w:jc w:val="center"/>
            </w:pPr>
            <w:r>
              <w:rPr>
                <w:rFonts w:ascii="Calibri" w:hAnsi="Calibri"/>
                <w:color w:val="333333"/>
                <w:sz w:val="19"/>
              </w:rPr>
              <w:t>0</w:t>
            </w:r>
          </w:p>
        </w:tc>
      </w:tr>
      <w:tr>
        <w:tc>
          <w:tcPr>
            <w:tcW w:type="dxa" w:w="2592"/>
            <w:shd w:fill="FFFFFF"/>
            <w:tcMar>
              <w:top w:w="80" w:type="dxa"/>
              <w:bottom w:w="80" w:type="dxa"/>
              <w:left w:w="120" w:type="dxa"/>
              <w:right w:w="120" w:type="dxa"/>
            </w:tcMar>
          </w:tcPr>
          <w:p>
            <w:pPr>
              <w:jc w:val="left"/>
            </w:pPr>
            <w:r>
              <w:rPr>
                <w:rFonts w:ascii="Calibri" w:hAnsi="Calibri"/>
                <w:color w:val="333333"/>
                <w:sz w:val="19"/>
              </w:rPr>
              <w:t>25th Percentile (Q1)</w:t>
            </w:r>
          </w:p>
        </w:tc>
        <w:tc>
          <w:tcPr>
            <w:tcW w:type="dxa" w:w="1440"/>
            <w:shd w:fill="FFFFFF"/>
            <w:tcMar>
              <w:top w:w="80" w:type="dxa"/>
              <w:bottom w:w="80" w:type="dxa"/>
              <w:left w:w="120" w:type="dxa"/>
              <w:right w:w="120" w:type="dxa"/>
            </w:tcMar>
          </w:tcPr>
          <w:p>
            <w:pPr>
              <w:jc w:val="center"/>
            </w:pPr>
            <w:r>
              <w:rPr>
                <w:rFonts w:ascii="Calibri" w:hAnsi="Calibri"/>
                <w:color w:val="333333"/>
                <w:sz w:val="19"/>
              </w:rPr>
              <w:t>2013</w:t>
            </w:r>
          </w:p>
        </w:tc>
        <w:tc>
          <w:tcPr>
            <w:tcW w:type="dxa" w:w="1728"/>
            <w:shd w:fill="FFFFFF"/>
            <w:tcMar>
              <w:top w:w="80" w:type="dxa"/>
              <w:bottom w:w="80" w:type="dxa"/>
              <w:left w:w="120" w:type="dxa"/>
              <w:right w:w="120" w:type="dxa"/>
            </w:tcMar>
          </w:tcPr>
          <w:p>
            <w:pPr>
              <w:jc w:val="center"/>
            </w:pPr>
            <w:r>
              <w:rPr>
                <w:rFonts w:ascii="Calibri" w:hAnsi="Calibri"/>
                <w:color w:val="333333"/>
                <w:sz w:val="19"/>
              </w:rPr>
              <w:t>86.00</w:t>
            </w:r>
          </w:p>
        </w:tc>
        <w:tc>
          <w:tcPr>
            <w:tcW w:type="dxa" w:w="1728"/>
            <w:shd w:fill="FFFFFF"/>
            <w:tcMar>
              <w:top w:w="80" w:type="dxa"/>
              <w:bottom w:w="80" w:type="dxa"/>
              <w:left w:w="120" w:type="dxa"/>
              <w:right w:w="120" w:type="dxa"/>
            </w:tcMar>
          </w:tcPr>
          <w:p>
            <w:pPr>
              <w:jc w:val="center"/>
            </w:pPr>
            <w:r>
              <w:rPr>
                <w:rFonts w:ascii="Calibri" w:hAnsi="Calibri"/>
                <w:color w:val="333333"/>
                <w:sz w:val="19"/>
              </w:rPr>
              <w:t>1.00</w:t>
            </w:r>
          </w:p>
        </w:tc>
        <w:tc>
          <w:tcPr>
            <w:tcW w:type="dxa" w:w="1296"/>
            <w:shd w:fill="FFFFFF"/>
            <w:tcMar>
              <w:top w:w="80" w:type="dxa"/>
              <w:bottom w:w="80" w:type="dxa"/>
              <w:left w:w="120" w:type="dxa"/>
              <w:right w:w="120" w:type="dxa"/>
            </w:tcMar>
          </w:tcPr>
          <w:p>
            <w:pPr>
              <w:jc w:val="center"/>
            </w:pPr>
            <w:r>
              <w:rPr>
                <w:rFonts w:ascii="Calibri" w:hAnsi="Calibri"/>
                <w:color w:val="333333"/>
                <w:sz w:val="19"/>
              </w:rPr>
              <w:t>3</w:t>
            </w:r>
          </w:p>
        </w:tc>
        <w:tc>
          <w:tcPr>
            <w:tcW w:type="dxa" w:w="1296"/>
            <w:shd w:fill="FFFFFF"/>
            <w:tcMar>
              <w:top w:w="80" w:type="dxa"/>
              <w:bottom w:w="80" w:type="dxa"/>
              <w:left w:w="120" w:type="dxa"/>
              <w:right w:w="120" w:type="dxa"/>
            </w:tcMar>
          </w:tcPr>
          <w:p>
            <w:pPr>
              <w:jc w:val="center"/>
            </w:pPr>
            <w:r>
              <w:rPr>
                <w:rFonts w:ascii="Calibri" w:hAnsi="Calibri"/>
                <w:color w:val="333333"/>
                <w:sz w:val="19"/>
              </w:rPr>
              <w:t>1</w:t>
            </w:r>
          </w:p>
        </w:tc>
      </w:tr>
      <w:tr>
        <w:tc>
          <w:tcPr>
            <w:tcW w:type="dxa" w:w="2592"/>
            <w:shd w:fill="F9FAFC"/>
            <w:tcMar>
              <w:top w:w="80" w:type="dxa"/>
              <w:bottom w:w="80" w:type="dxa"/>
              <w:left w:w="120" w:type="dxa"/>
              <w:right w:w="120" w:type="dxa"/>
            </w:tcMar>
          </w:tcPr>
          <w:p>
            <w:pPr>
              <w:jc w:val="left"/>
            </w:pPr>
            <w:r>
              <w:rPr>
                <w:rFonts w:ascii="Calibri" w:hAnsi="Calibri"/>
                <w:color w:val="333333"/>
                <w:sz w:val="19"/>
              </w:rPr>
              <w:t>50th Percentile (Median)</w:t>
            </w:r>
          </w:p>
        </w:tc>
        <w:tc>
          <w:tcPr>
            <w:tcW w:type="dxa" w:w="1440"/>
            <w:shd w:fill="F9FAFC"/>
            <w:tcMar>
              <w:top w:w="80" w:type="dxa"/>
              <w:bottom w:w="80" w:type="dxa"/>
              <w:left w:w="120" w:type="dxa"/>
              <w:right w:w="120" w:type="dxa"/>
            </w:tcMar>
          </w:tcPr>
          <w:p>
            <w:pPr>
              <w:jc w:val="center"/>
            </w:pPr>
            <w:r>
              <w:rPr>
                <w:rFonts w:ascii="Calibri" w:hAnsi="Calibri"/>
                <w:color w:val="333333"/>
                <w:sz w:val="19"/>
              </w:rPr>
              <w:t>2017</w:t>
            </w:r>
          </w:p>
        </w:tc>
        <w:tc>
          <w:tcPr>
            <w:tcW w:type="dxa" w:w="1728"/>
            <w:shd w:fill="F9FAFC"/>
            <w:tcMar>
              <w:top w:w="80" w:type="dxa"/>
              <w:bottom w:w="80" w:type="dxa"/>
              <w:left w:w="120" w:type="dxa"/>
              <w:right w:w="120" w:type="dxa"/>
            </w:tcMar>
          </w:tcPr>
          <w:p>
            <w:pPr>
              <w:jc w:val="center"/>
            </w:pPr>
            <w:r>
              <w:rPr>
                <w:rFonts w:ascii="Calibri" w:hAnsi="Calibri"/>
                <w:color w:val="333333"/>
                <w:sz w:val="19"/>
              </w:rPr>
              <w:t>98.00</w:t>
            </w:r>
          </w:p>
        </w:tc>
        <w:tc>
          <w:tcPr>
            <w:tcW w:type="dxa" w:w="1728"/>
            <w:shd w:fill="F9FAFC"/>
            <w:tcMar>
              <w:top w:w="80" w:type="dxa"/>
              <w:bottom w:w="80" w:type="dxa"/>
              <w:left w:w="120" w:type="dxa"/>
              <w:right w:w="120" w:type="dxa"/>
            </w:tcMar>
          </w:tcPr>
          <w:p>
            <w:pPr>
              <w:jc w:val="center"/>
            </w:pPr>
            <w:r>
              <w:rPr>
                <w:rFonts w:ascii="Calibri" w:hAnsi="Calibri"/>
                <w:color w:val="333333"/>
                <w:sz w:val="19"/>
              </w:rPr>
              <w:t>3.00</w:t>
            </w:r>
          </w:p>
        </w:tc>
        <w:tc>
          <w:tcPr>
            <w:tcW w:type="dxa" w:w="1296"/>
            <w:shd w:fill="F9FAFC"/>
            <w:tcMar>
              <w:top w:w="80" w:type="dxa"/>
              <w:bottom w:w="80" w:type="dxa"/>
              <w:left w:w="120" w:type="dxa"/>
              <w:right w:w="120" w:type="dxa"/>
            </w:tcMar>
          </w:tcPr>
          <w:p>
            <w:pPr>
              <w:jc w:val="center"/>
            </w:pPr>
            <w:r>
              <w:rPr>
                <w:rFonts w:ascii="Calibri" w:hAnsi="Calibri"/>
                <w:color w:val="333333"/>
                <w:sz w:val="19"/>
              </w:rPr>
              <w:t>6</w:t>
            </w:r>
          </w:p>
        </w:tc>
        <w:tc>
          <w:tcPr>
            <w:tcW w:type="dxa" w:w="1296"/>
            <w:shd w:fill="F9FAFC"/>
            <w:tcMar>
              <w:top w:w="80" w:type="dxa"/>
              <w:bottom w:w="80" w:type="dxa"/>
              <w:left w:w="120" w:type="dxa"/>
              <w:right w:w="120" w:type="dxa"/>
            </w:tcMar>
          </w:tcPr>
          <w:p>
            <w:pPr>
              <w:jc w:val="center"/>
            </w:pPr>
            <w:r>
              <w:rPr>
                <w:rFonts w:ascii="Calibri" w:hAnsi="Calibri"/>
                <w:color w:val="333333"/>
                <w:sz w:val="19"/>
              </w:rPr>
              <w:t>1</w:t>
            </w:r>
          </w:p>
        </w:tc>
      </w:tr>
      <w:tr>
        <w:tc>
          <w:tcPr>
            <w:tcW w:type="dxa" w:w="2592"/>
            <w:shd w:fill="FFFFFF"/>
            <w:tcMar>
              <w:top w:w="80" w:type="dxa"/>
              <w:bottom w:w="80" w:type="dxa"/>
              <w:left w:w="120" w:type="dxa"/>
              <w:right w:w="120" w:type="dxa"/>
            </w:tcMar>
          </w:tcPr>
          <w:p>
            <w:pPr>
              <w:jc w:val="left"/>
            </w:pPr>
            <w:r>
              <w:rPr>
                <w:rFonts w:ascii="Calibri" w:hAnsi="Calibri"/>
                <w:color w:val="333333"/>
                <w:sz w:val="19"/>
              </w:rPr>
              <w:t>75th Percentile (Q3)</w:t>
            </w:r>
          </w:p>
        </w:tc>
        <w:tc>
          <w:tcPr>
            <w:tcW w:type="dxa" w:w="1440"/>
            <w:shd w:fill="FFFFFF"/>
            <w:tcMar>
              <w:top w:w="80" w:type="dxa"/>
              <w:bottom w:w="80" w:type="dxa"/>
              <w:left w:w="120" w:type="dxa"/>
              <w:right w:w="120" w:type="dxa"/>
            </w:tcMar>
          </w:tcPr>
          <w:p>
            <w:pPr>
              <w:jc w:val="center"/>
            </w:pPr>
            <w:r>
              <w:rPr>
                <w:rFonts w:ascii="Calibri" w:hAnsi="Calibri"/>
                <w:color w:val="333333"/>
                <w:sz w:val="19"/>
              </w:rPr>
              <w:t>2018</w:t>
            </w:r>
          </w:p>
        </w:tc>
        <w:tc>
          <w:tcPr>
            <w:tcW w:type="dxa" w:w="1728"/>
            <w:shd w:fill="FFFFFF"/>
            <w:tcMar>
              <w:top w:w="80" w:type="dxa"/>
              <w:bottom w:w="80" w:type="dxa"/>
              <w:left w:w="120" w:type="dxa"/>
              <w:right w:w="120" w:type="dxa"/>
            </w:tcMar>
          </w:tcPr>
          <w:p>
            <w:pPr>
              <w:jc w:val="center"/>
            </w:pPr>
            <w:r>
              <w:rPr>
                <w:rFonts w:ascii="Calibri" w:hAnsi="Calibri"/>
                <w:color w:val="333333"/>
                <w:sz w:val="19"/>
              </w:rPr>
              <w:t>114.00</w:t>
            </w:r>
          </w:p>
        </w:tc>
        <w:tc>
          <w:tcPr>
            <w:tcW w:type="dxa" w:w="1728"/>
            <w:shd w:fill="FFFFFF"/>
            <w:tcMar>
              <w:top w:w="80" w:type="dxa"/>
              <w:bottom w:w="80" w:type="dxa"/>
              <w:left w:w="120" w:type="dxa"/>
              <w:right w:w="120" w:type="dxa"/>
            </w:tcMar>
          </w:tcPr>
          <w:p>
            <w:pPr>
              <w:jc w:val="center"/>
            </w:pPr>
            <w:r>
              <w:rPr>
                <w:rFonts w:ascii="Calibri" w:hAnsi="Calibri"/>
                <w:color w:val="333333"/>
                <w:sz w:val="19"/>
              </w:rPr>
              <w:t>6.00</w:t>
            </w:r>
          </w:p>
        </w:tc>
        <w:tc>
          <w:tcPr>
            <w:tcW w:type="dxa" w:w="1296"/>
            <w:shd w:fill="FFFFFF"/>
            <w:tcMar>
              <w:top w:w="80" w:type="dxa"/>
              <w:bottom w:w="80" w:type="dxa"/>
              <w:left w:w="120" w:type="dxa"/>
              <w:right w:w="120" w:type="dxa"/>
            </w:tcMar>
          </w:tcPr>
          <w:p>
            <w:pPr>
              <w:jc w:val="center"/>
            </w:pPr>
            <w:r>
              <w:rPr>
                <w:rFonts w:ascii="Calibri" w:hAnsi="Calibri"/>
                <w:color w:val="333333"/>
                <w:sz w:val="19"/>
              </w:rPr>
              <w:t>9</w:t>
            </w:r>
          </w:p>
        </w:tc>
        <w:tc>
          <w:tcPr>
            <w:tcW w:type="dxa" w:w="1296"/>
            <w:shd w:fill="FFFFFF"/>
            <w:tcMar>
              <w:top w:w="80" w:type="dxa"/>
              <w:bottom w:w="80" w:type="dxa"/>
              <w:left w:w="120" w:type="dxa"/>
              <w:right w:w="120" w:type="dxa"/>
            </w:tcMar>
          </w:tcPr>
          <w:p>
            <w:pPr>
              <w:jc w:val="center"/>
            </w:pPr>
            <w:r>
              <w:rPr>
                <w:rFonts w:ascii="Calibri" w:hAnsi="Calibri"/>
                <w:color w:val="333333"/>
                <w:sz w:val="19"/>
              </w:rPr>
              <w:t>1</w:t>
            </w:r>
          </w:p>
        </w:tc>
      </w:tr>
      <w:tr>
        <w:tc>
          <w:tcPr>
            <w:tcW w:type="dxa" w:w="2592"/>
            <w:shd w:fill="F9FAFC"/>
            <w:tcMar>
              <w:top w:w="80" w:type="dxa"/>
              <w:bottom w:w="80" w:type="dxa"/>
              <w:left w:w="120" w:type="dxa"/>
              <w:right w:w="120" w:type="dxa"/>
            </w:tcMar>
          </w:tcPr>
          <w:p>
            <w:pPr>
              <w:jc w:val="left"/>
            </w:pPr>
            <w:r>
              <w:rPr>
                <w:rFonts w:ascii="Calibri" w:hAnsi="Calibri"/>
                <w:color w:val="333333"/>
                <w:sz w:val="19"/>
              </w:rPr>
              <w:t>Maximum</w:t>
            </w:r>
          </w:p>
        </w:tc>
        <w:tc>
          <w:tcPr>
            <w:tcW w:type="dxa" w:w="1440"/>
            <w:shd w:fill="F9FAFC"/>
            <w:tcMar>
              <w:top w:w="80" w:type="dxa"/>
              <w:bottom w:w="80" w:type="dxa"/>
              <w:left w:w="120" w:type="dxa"/>
              <w:right w:w="120" w:type="dxa"/>
            </w:tcMar>
          </w:tcPr>
          <w:p>
            <w:pPr>
              <w:jc w:val="center"/>
            </w:pPr>
            <w:r>
              <w:rPr>
                <w:rFonts w:ascii="Calibri" w:hAnsi="Calibri"/>
                <w:color w:val="333333"/>
                <w:sz w:val="19"/>
              </w:rPr>
              <w:t>2021</w:t>
            </w:r>
          </w:p>
        </w:tc>
        <w:tc>
          <w:tcPr>
            <w:tcW w:type="dxa" w:w="1728"/>
            <w:shd w:fill="F9FAFC"/>
            <w:tcMar>
              <w:top w:w="80" w:type="dxa"/>
              <w:bottom w:w="80" w:type="dxa"/>
              <w:left w:w="120" w:type="dxa"/>
              <w:right w:w="120" w:type="dxa"/>
            </w:tcMar>
          </w:tcPr>
          <w:p>
            <w:pPr>
              <w:jc w:val="center"/>
            </w:pPr>
            <w:r>
              <w:rPr>
                <w:rFonts w:ascii="Calibri" w:hAnsi="Calibri"/>
                <w:color w:val="333333"/>
                <w:sz w:val="19"/>
              </w:rPr>
              <w:t>312.00</w:t>
            </w:r>
          </w:p>
        </w:tc>
        <w:tc>
          <w:tcPr>
            <w:tcW w:type="dxa" w:w="1728"/>
            <w:shd w:fill="F9FAFC"/>
            <w:tcMar>
              <w:top w:w="80" w:type="dxa"/>
              <w:bottom w:w="80" w:type="dxa"/>
              <w:left w:w="120" w:type="dxa"/>
              <w:right w:w="120" w:type="dxa"/>
            </w:tcMar>
          </w:tcPr>
          <w:p>
            <w:pPr>
              <w:jc w:val="center"/>
            </w:pPr>
            <w:r>
              <w:rPr>
                <w:rFonts w:ascii="Calibri" w:hAnsi="Calibri"/>
                <w:color w:val="333333"/>
                <w:sz w:val="19"/>
              </w:rPr>
              <w:t>95.00</w:t>
            </w:r>
          </w:p>
        </w:tc>
        <w:tc>
          <w:tcPr>
            <w:tcW w:type="dxa" w:w="1296"/>
            <w:shd w:fill="F9FAFC"/>
            <w:tcMar>
              <w:top w:w="80" w:type="dxa"/>
              <w:bottom w:w="80" w:type="dxa"/>
              <w:left w:w="120" w:type="dxa"/>
              <w:right w:w="120" w:type="dxa"/>
            </w:tcMar>
          </w:tcPr>
          <w:p>
            <w:pPr>
              <w:jc w:val="center"/>
            </w:pPr>
            <w:r>
              <w:rPr>
                <w:rFonts w:ascii="Calibri" w:hAnsi="Calibri"/>
                <w:color w:val="333333"/>
                <w:sz w:val="19"/>
              </w:rPr>
              <w:t>50</w:t>
            </w:r>
          </w:p>
        </w:tc>
        <w:tc>
          <w:tcPr>
            <w:tcW w:type="dxa" w:w="1296"/>
            <w:shd w:fill="F9FAFC"/>
            <w:tcMar>
              <w:top w:w="80" w:type="dxa"/>
              <w:bottom w:w="80" w:type="dxa"/>
              <w:left w:w="120" w:type="dxa"/>
              <w:right w:w="120" w:type="dxa"/>
            </w:tcMar>
          </w:tcPr>
          <w:p>
            <w:pPr>
              <w:jc w:val="center"/>
            </w:pPr>
            <w:r>
              <w:rPr>
                <w:rFonts w:ascii="Calibri" w:hAnsi="Calibri"/>
                <w:color w:val="333333"/>
                <w:sz w:val="19"/>
              </w:rPr>
              <w:t>12</w:t>
            </w:r>
          </w:p>
        </w:tc>
      </w:tr>
      <w:tr>
        <w:tc>
          <w:tcPr>
            <w:tcW w:type="dxa" w:w="2592"/>
            <w:shd w:fill="FFFFFF"/>
            <w:tcMar>
              <w:top w:w="80" w:type="dxa"/>
              <w:bottom w:w="80" w:type="dxa"/>
              <w:left w:w="120" w:type="dxa"/>
              <w:right w:w="120" w:type="dxa"/>
            </w:tcMar>
          </w:tcPr>
          <w:p>
            <w:pPr>
              <w:jc w:val="left"/>
            </w:pPr>
            <w:r>
              <w:rPr>
                <w:rFonts w:ascii="Calibri" w:hAnsi="Calibri"/>
                <w:color w:val="333333"/>
                <w:sz w:val="19"/>
              </w:rPr>
              <w:t>Skewness</w:t>
            </w:r>
          </w:p>
        </w:tc>
        <w:tc>
          <w:tcPr>
            <w:tcW w:type="dxa" w:w="1440"/>
            <w:shd w:fill="FFFFFF"/>
            <w:tcMar>
              <w:top w:w="80" w:type="dxa"/>
              <w:bottom w:w="80" w:type="dxa"/>
              <w:left w:w="120" w:type="dxa"/>
              <w:right w:w="120" w:type="dxa"/>
            </w:tcMar>
          </w:tcPr>
          <w:p>
            <w:pPr>
              <w:jc w:val="center"/>
            </w:pPr>
            <w:r>
              <w:rPr>
                <w:rFonts w:ascii="Calibri" w:hAnsi="Calibri"/>
                <w:color w:val="333333"/>
                <w:sz w:val="19"/>
              </w:rPr>
              <w:t>-3.63</w:t>
            </w:r>
          </w:p>
        </w:tc>
        <w:tc>
          <w:tcPr>
            <w:tcW w:type="dxa" w:w="1728"/>
            <w:shd w:fill="FFFFFF"/>
            <w:tcMar>
              <w:top w:w="80" w:type="dxa"/>
              <w:bottom w:w="80" w:type="dxa"/>
              <w:left w:w="120" w:type="dxa"/>
              <w:right w:w="120" w:type="dxa"/>
            </w:tcMar>
          </w:tcPr>
          <w:p>
            <w:pPr>
              <w:jc w:val="center"/>
            </w:pPr>
            <w:r>
              <w:rPr>
                <w:rFonts w:ascii="Calibri" w:hAnsi="Calibri"/>
                <w:color w:val="333333"/>
                <w:sz w:val="19"/>
              </w:rPr>
              <w:t>0.19</w:t>
            </w:r>
          </w:p>
        </w:tc>
        <w:tc>
          <w:tcPr>
            <w:tcW w:type="dxa" w:w="1728"/>
            <w:shd w:fill="FFFFFF"/>
            <w:tcMar>
              <w:top w:w="80" w:type="dxa"/>
              <w:bottom w:w="80" w:type="dxa"/>
              <w:left w:w="120" w:type="dxa"/>
              <w:right w:w="120" w:type="dxa"/>
            </w:tcMar>
          </w:tcPr>
          <w:p>
            <w:pPr>
              <w:jc w:val="center"/>
            </w:pPr>
            <w:r>
              <w:rPr>
                <w:rFonts w:ascii="Calibri" w:hAnsi="Calibri"/>
                <w:color w:val="333333"/>
                <w:sz w:val="19"/>
              </w:rPr>
              <w:t>3.59</w:t>
            </w:r>
          </w:p>
        </w:tc>
        <w:tc>
          <w:tcPr>
            <w:tcW w:type="dxa" w:w="1296"/>
            <w:shd w:fill="FFFFFF"/>
            <w:tcMar>
              <w:top w:w="80" w:type="dxa"/>
              <w:bottom w:w="80" w:type="dxa"/>
              <w:left w:w="120" w:type="dxa"/>
              <w:right w:w="120" w:type="dxa"/>
            </w:tcMar>
          </w:tcPr>
          <w:p>
            <w:pPr>
              <w:jc w:val="center"/>
            </w:pPr>
            <w:r>
              <w:rPr>
                <w:rFonts w:ascii="Calibri" w:hAnsi="Calibri"/>
                <w:color w:val="333333"/>
                <w:sz w:val="19"/>
              </w:rPr>
              <w:t>0.85</w:t>
            </w:r>
          </w:p>
        </w:tc>
        <w:tc>
          <w:tcPr>
            <w:tcW w:type="dxa" w:w="1296"/>
            <w:shd w:fill="FFFFFF"/>
            <w:tcMar>
              <w:top w:w="80" w:type="dxa"/>
              <w:bottom w:w="80" w:type="dxa"/>
              <w:left w:w="120" w:type="dxa"/>
              <w:right w:w="120" w:type="dxa"/>
            </w:tcMar>
          </w:tcPr>
          <w:p>
            <w:pPr>
              <w:jc w:val="center"/>
            </w:pPr>
            <w:r>
              <w:rPr>
                <w:rFonts w:ascii="Calibri" w:hAnsi="Calibri"/>
                <w:color w:val="333333"/>
                <w:sz w:val="19"/>
              </w:rPr>
              <w:t>3.21</w:t>
            </w:r>
          </w:p>
        </w:tc>
      </w:tr>
    </w:tbl>
    <w:p>
      <w:pPr>
        <w:spacing w:after="120"/>
      </w:pPr>
    </w:p>
    <w:p>
      <w:pPr>
        <w:keepNext/>
        <w:spacing w:before="320" w:after="120"/>
      </w:pPr>
      <w:r>
        <w:rPr>
          <w:rFonts w:ascii="Calibri" w:hAnsi="Calibri"/>
          <w:b/>
          <w:color w:val="E50914"/>
          <w:sz w:val="36"/>
        </w:rPr>
        <w:t>7. Detailed Exploratory Data Analysis</w:t>
      </w:r>
    </w:p>
    <w:p>
      <w:pPr>
        <w:keepNext/>
        <w:spacing w:before="240" w:after="80"/>
      </w:pPr>
      <w:r>
        <w:rPr>
          <w:rFonts w:ascii="Calibri" w:hAnsi="Calibri"/>
          <w:b/>
          <w:color w:val="1A5276"/>
          <w:sz w:val="28"/>
        </w:rPr>
        <w:t>7.1 Content Type Distribution Analysis</w:t>
      </w:r>
    </w:p>
    <w:p>
      <w:pPr>
        <w:spacing w:before="0" w:after="120" w:line="276" w:lineRule="auto"/>
      </w:pPr>
      <w:r>
        <w:rPr>
          <w:rFonts w:ascii="Calibri" w:hAnsi="Calibri"/>
          <w:color w:val="333333"/>
          <w:sz w:val="22"/>
        </w:rPr>
        <w:t>Netflix's catalog is partitioned into two primary content categories: Movies and TV Shows. Analysis reveals that Movies constitute 5,377 titles (69.05%), whereas TV Shows account for 2,410 titles (30.95%).</w:t>
      </w:r>
    </w:p>
    <w:p>
      <w:pPr>
        <w:keepNext/>
        <w:spacing w:before="160" w:after="40"/>
        <w:jc w:val="center"/>
      </w:pPr>
      <w:r>
        <w:drawing>
          <wp:inline xmlns:a="http://schemas.openxmlformats.org/drawingml/2006/main" xmlns:pic="http://schemas.openxmlformats.org/drawingml/2006/picture">
            <wp:extent cx="5486400" cy="2110154"/>
            <wp:docPr id="1" name="Picture 1"/>
            <wp:cNvGraphicFramePr>
              <a:graphicFrameLocks noChangeAspect="1"/>
            </wp:cNvGraphicFramePr>
            <a:graphic>
              <a:graphicData uri="http://schemas.openxmlformats.org/drawingml/2006/picture">
                <pic:pic>
                  <pic:nvPicPr>
                    <pic:cNvPr id="0" name="w2_01_content_type_distribution.png"/>
                    <pic:cNvPicPr/>
                  </pic:nvPicPr>
                  <pic:blipFill>
                    <a:blip r:embed="rId10"/>
                    <a:stretch>
                      <a:fillRect/>
                    </a:stretch>
                  </pic:blipFill>
                  <pic:spPr>
                    <a:xfrm>
                      <a:off x="0" y="0"/>
                      <a:ext cx="5486400" cy="2110154"/>
                    </a:xfrm>
                    <a:prstGeom prst="rect"/>
                  </pic:spPr>
                </pic:pic>
              </a:graphicData>
            </a:graphic>
          </wp:inline>
        </w:drawing>
      </w:r>
    </w:p>
    <w:p>
      <w:pPr>
        <w:spacing w:before="40" w:after="200"/>
        <w:jc w:val="center"/>
      </w:pPr>
      <w:r>
        <w:rPr>
          <w:rFonts w:ascii="Calibri" w:hAnsi="Calibri"/>
          <w:b/>
          <w:color w:val="E50914"/>
          <w:sz w:val="19"/>
        </w:rPr>
        <w:t xml:space="preserve">Figure 1: </w:t>
      </w:r>
      <w:r>
        <w:rPr>
          <w:rFonts w:ascii="Calibri" w:hAnsi="Calibri"/>
          <w:b/>
          <w:color w:val="221F1F"/>
          <w:sz w:val="19"/>
        </w:rPr>
        <w:t xml:space="preserve">Content Type Proportion &amp; Volume — </w:t>
      </w:r>
      <w:r>
        <w:rPr>
          <w:rFonts w:ascii="Calibri" w:hAnsi="Calibri"/>
          <w:i/>
          <w:color w:val="333333"/>
          <w:sz w:val="19"/>
        </w:rPr>
        <w:t>Donut chart and bar plot illustrating the 69.05% vs 30.95% split between Movies and TV Shows.</w:t>
      </w:r>
    </w:p>
    <w:p>
      <w:pPr>
        <w:spacing w:before="0" w:after="120" w:line="276" w:lineRule="auto"/>
      </w:pPr>
      <w:r>
        <w:rPr>
          <w:rFonts w:ascii="Calibri" w:hAnsi="Calibri"/>
          <w:b/>
          <w:color w:val="333333"/>
          <w:sz w:val="22"/>
        </w:rPr>
        <w:t xml:space="preserve">Key Finding: </w:t>
      </w:r>
      <w:r>
        <w:rPr>
          <w:rFonts w:ascii="Calibri" w:hAnsi="Calibri"/>
          <w:color w:val="333333"/>
          <w:sz w:val="22"/>
        </w:rPr>
        <w:t xml:space="preserve">Observation &amp; Insight: </w:t>
      </w:r>
    </w:p>
    <w:p>
      <w:pPr>
        <w:spacing w:before="0" w:after="120" w:line="276" w:lineRule="auto"/>
      </w:pPr>
      <w:r>
        <w:rPr>
          <w:rFonts w:ascii="Calibri" w:hAnsi="Calibri"/>
          <w:color w:val="333333"/>
          <w:sz w:val="22"/>
        </w:rPr>
        <w:t>While feature films dominate total historical catalog acquisitions, television series have seen accelerated acquisition rates in recent years due to higher subscriber retention and binge-watching engagement metrics.</w:t>
      </w:r>
    </w:p>
    <w:p>
      <w:pPr>
        <w:keepNext/>
        <w:spacing w:before="240" w:after="80"/>
      </w:pPr>
      <w:r>
        <w:rPr>
          <w:rFonts w:ascii="Calibri" w:hAnsi="Calibri"/>
          <w:b/>
          <w:color w:val="1A5276"/>
          <w:sz w:val="28"/>
        </w:rPr>
        <w:t>7.2 Release Year Evolution &amp; Trends</w:t>
      </w:r>
    </w:p>
    <w:p>
      <w:pPr>
        <w:spacing w:before="0" w:after="120" w:line="276" w:lineRule="auto"/>
      </w:pPr>
      <w:r>
        <w:rPr>
          <w:rFonts w:ascii="Calibri" w:hAnsi="Calibri"/>
          <w:color w:val="333333"/>
          <w:sz w:val="22"/>
        </w:rPr>
        <w:t>Content release years range from 1925 to 2021. Release volume remained low and flat throughout the 20th century before experiencing an exponential rise beginning in 2010.</w:t>
      </w:r>
    </w:p>
    <w:p>
      <w:pPr>
        <w:keepNext/>
        <w:spacing w:before="160" w:after="40"/>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w2_02_release_year_trends.png"/>
                    <pic:cNvPicPr/>
                  </pic:nvPicPr>
                  <pic:blipFill>
                    <a:blip r:embed="rId11"/>
                    <a:stretch>
                      <a:fillRect/>
                    </a:stretch>
                  </pic:blipFill>
                  <pic:spPr>
                    <a:xfrm>
                      <a:off x="0" y="0"/>
                      <a:ext cx="5486400" cy="2743200"/>
                    </a:xfrm>
                    <a:prstGeom prst="rect"/>
                  </pic:spPr>
                </pic:pic>
              </a:graphicData>
            </a:graphic>
          </wp:inline>
        </w:drawing>
      </w:r>
    </w:p>
    <w:p>
      <w:pPr>
        <w:spacing w:before="40" w:after="200"/>
        <w:jc w:val="center"/>
      </w:pPr>
      <w:r>
        <w:rPr>
          <w:rFonts w:ascii="Calibri" w:hAnsi="Calibri"/>
          <w:b/>
          <w:color w:val="E50914"/>
          <w:sz w:val="19"/>
        </w:rPr>
        <w:t xml:space="preserve">Figure 2: </w:t>
      </w:r>
      <w:r>
        <w:rPr>
          <w:rFonts w:ascii="Calibri" w:hAnsi="Calibri"/>
          <w:b/>
          <w:color w:val="221F1F"/>
          <w:sz w:val="19"/>
        </w:rPr>
        <w:t xml:space="preserve">Release Year Evolution (1925 - 2021) — </w:t>
      </w:r>
      <w:r>
        <w:rPr>
          <w:rFonts w:ascii="Calibri" w:hAnsi="Calibri"/>
          <w:i/>
          <w:color w:val="333333"/>
          <w:sz w:val="19"/>
        </w:rPr>
        <w:t>Line chart tracking release trends for Movies and TV Shows, highlighting peak movie releases in 2017 (767 titles) and TV show releases in 2020 (436 titles).</w:t>
      </w:r>
    </w:p>
    <w:p>
      <w:pPr>
        <w:spacing w:before="0" w:after="120" w:line="276" w:lineRule="auto"/>
      </w:pPr>
      <w:r>
        <w:rPr>
          <w:rFonts w:ascii="Calibri" w:hAnsi="Calibri"/>
          <w:color w:val="333333"/>
          <w:sz w:val="22"/>
        </w:rPr>
        <w:t>The peak release year for movies was 2017 with 767 films, whereas TV show releases peaked in 2020 with 436 series. The sharp drop in 2021 reflects dataset right-censoring in early 2021.</w:t>
      </w:r>
    </w:p>
    <w:p>
      <w:pPr>
        <w:keepNext/>
        <w:spacing w:before="240" w:after="80"/>
      </w:pPr>
      <w:r>
        <w:rPr>
          <w:rFonts w:ascii="Calibri" w:hAnsi="Calibri"/>
          <w:b/>
          <w:color w:val="1A5276"/>
          <w:sz w:val="28"/>
        </w:rPr>
        <w:t>7.3 International Content &amp; Geographic Production Shares</w:t>
      </w:r>
    </w:p>
    <w:p>
      <w:pPr>
        <w:spacing w:before="0" w:after="120" w:line="276" w:lineRule="auto"/>
      </w:pPr>
      <w:r>
        <w:rPr>
          <w:rFonts w:ascii="Calibri" w:hAnsi="Calibri"/>
          <w:color w:val="333333"/>
          <w:sz w:val="22"/>
        </w:rPr>
        <w:t>A common methodological error in EDA is counting multi-country entries (e.g., 'United States, India') as unique standalone strings, which undercounts country participation. By unnesting comma-separated values, true geographic representation was extracted:</w:t>
      </w:r>
    </w:p>
    <w:p>
      <w:pPr>
        <w:keepNext/>
        <w:spacing w:before="160" w:after="40"/>
        <w:jc w:val="center"/>
      </w:pPr>
      <w:r>
        <w:drawing>
          <wp:inline xmlns:a="http://schemas.openxmlformats.org/drawingml/2006/main" xmlns:pic="http://schemas.openxmlformats.org/drawingml/2006/picture">
            <wp:extent cx="5486400" cy="2992582"/>
            <wp:docPr id="3" name="Picture 3"/>
            <wp:cNvGraphicFramePr>
              <a:graphicFrameLocks noChangeAspect="1"/>
            </wp:cNvGraphicFramePr>
            <a:graphic>
              <a:graphicData uri="http://schemas.openxmlformats.org/drawingml/2006/picture">
                <pic:pic>
                  <pic:nvPicPr>
                    <pic:cNvPr id="0" name="w2_03_top_contributing_countries.png"/>
                    <pic:cNvPicPr/>
                  </pic:nvPicPr>
                  <pic:blipFill>
                    <a:blip r:embed="rId12"/>
                    <a:stretch>
                      <a:fillRect/>
                    </a:stretch>
                  </pic:blipFill>
                  <pic:spPr>
                    <a:xfrm>
                      <a:off x="0" y="0"/>
                      <a:ext cx="5486400" cy="2992582"/>
                    </a:xfrm>
                    <a:prstGeom prst="rect"/>
                  </pic:spPr>
                </pic:pic>
              </a:graphicData>
            </a:graphic>
          </wp:inline>
        </w:drawing>
      </w:r>
    </w:p>
    <w:p>
      <w:pPr>
        <w:spacing w:before="40" w:after="200"/>
        <w:jc w:val="center"/>
      </w:pPr>
      <w:r>
        <w:rPr>
          <w:rFonts w:ascii="Calibri" w:hAnsi="Calibri"/>
          <w:b/>
          <w:color w:val="E50914"/>
          <w:sz w:val="19"/>
        </w:rPr>
        <w:t xml:space="preserve">Figure 3: </w:t>
      </w:r>
      <w:r>
        <w:rPr>
          <w:rFonts w:ascii="Calibri" w:hAnsi="Calibri"/>
          <w:b/>
          <w:color w:val="221F1F"/>
          <w:sz w:val="19"/>
        </w:rPr>
        <w:t xml:space="preserve">Top 15 Content-Producing Countries — </w:t>
      </w:r>
      <w:r>
        <w:rPr>
          <w:rFonts w:ascii="Calibri" w:hAnsi="Calibri"/>
          <w:i/>
          <w:color w:val="333333"/>
          <w:sz w:val="19"/>
        </w:rPr>
        <w:t>Horizontal bar chart showing total titles produced or co-produced by country after unnesting multi-country entries.</w:t>
      </w:r>
    </w:p>
    <w:tbl>
      <w:tblPr>
        <w:tblW w:type="auto" w:w="0"/>
        <w:jc w:val="center"/>
        <w:tblLook w:firstColumn="1" w:firstRow="1" w:lastColumn="0" w:lastRow="0" w:noHBand="0" w:noVBand="1" w:val="04A0"/>
      </w:tblPr>
      <w:tblGrid>
        <w:gridCol w:w="2340"/>
        <w:gridCol w:w="2340"/>
        <w:gridCol w:w="2340"/>
        <w:gridCol w:w="2340"/>
      </w:tblGrid>
      <w:tr>
        <w:tc>
          <w:tcPr>
            <w:tcW w:type="dxa" w:w="1152"/>
            <w:shd w:fill="1A5276"/>
            <w:tcMar>
              <w:top w:w="100" w:type="dxa"/>
              <w:bottom w:w="100" w:type="dxa"/>
              <w:left w:w="120" w:type="dxa"/>
              <w:right w:w="120" w:type="dxa"/>
            </w:tcMar>
          </w:tcPr>
          <w:p>
            <w:pPr>
              <w:jc w:val="center"/>
            </w:pPr>
            <w:r>
              <w:rPr>
                <w:rFonts w:ascii="Calibri" w:hAnsi="Calibri"/>
                <w:b/>
                <w:color w:val="FFFFFF"/>
                <w:sz w:val="20"/>
              </w:rPr>
              <w:t>Rank</w:t>
            </w:r>
          </w:p>
        </w:tc>
        <w:tc>
          <w:tcPr>
            <w:tcW w:type="dxa" w:w="3168"/>
            <w:shd w:fill="1A5276"/>
            <w:tcMar>
              <w:top w:w="100" w:type="dxa"/>
              <w:bottom w:w="100" w:type="dxa"/>
              <w:left w:w="120" w:type="dxa"/>
              <w:right w:w="120" w:type="dxa"/>
            </w:tcMar>
          </w:tcPr>
          <w:p>
            <w:pPr>
              <w:jc w:val="center"/>
            </w:pPr>
            <w:r>
              <w:rPr>
                <w:rFonts w:ascii="Calibri" w:hAnsi="Calibri"/>
                <w:b/>
                <w:color w:val="FFFFFF"/>
                <w:sz w:val="20"/>
              </w:rPr>
              <w:t>Country Name</w:t>
            </w:r>
          </w:p>
        </w:tc>
        <w:tc>
          <w:tcPr>
            <w:tcW w:type="dxa" w:w="2880"/>
            <w:shd w:fill="1A5276"/>
            <w:tcMar>
              <w:top w:w="100" w:type="dxa"/>
              <w:bottom w:w="100" w:type="dxa"/>
              <w:left w:w="120" w:type="dxa"/>
              <w:right w:w="120" w:type="dxa"/>
            </w:tcMar>
          </w:tcPr>
          <w:p>
            <w:pPr>
              <w:jc w:val="center"/>
            </w:pPr>
            <w:r>
              <w:rPr>
                <w:rFonts w:ascii="Calibri" w:hAnsi="Calibri"/>
                <w:b/>
                <w:color w:val="FFFFFF"/>
                <w:sz w:val="20"/>
              </w:rPr>
              <w:t>Total Titles (Unnested)</w:t>
            </w:r>
          </w:p>
        </w:tc>
        <w:tc>
          <w:tcPr>
            <w:tcW w:type="dxa" w:w="2880"/>
            <w:shd w:fill="1A5276"/>
            <w:tcMar>
              <w:top w:w="100" w:type="dxa"/>
              <w:bottom w:w="100" w:type="dxa"/>
              <w:left w:w="120" w:type="dxa"/>
              <w:right w:w="120" w:type="dxa"/>
            </w:tcMar>
          </w:tcPr>
          <w:p>
            <w:pPr>
              <w:jc w:val="center"/>
            </w:pPr>
            <w:r>
              <w:rPr>
                <w:rFonts w:ascii="Calibri" w:hAnsi="Calibri"/>
                <w:b/>
                <w:color w:val="FFFFFF"/>
                <w:sz w:val="20"/>
              </w:rPr>
              <w:t>Primary Production Share (%)</w:t>
            </w:r>
          </w:p>
        </w:tc>
      </w:tr>
      <w:tr>
        <w:tc>
          <w:tcPr>
            <w:tcW w:type="dxa" w:w="1152"/>
            <w:shd w:fill="FFFFFF"/>
            <w:tcMar>
              <w:top w:w="80" w:type="dxa"/>
              <w:bottom w:w="80" w:type="dxa"/>
              <w:left w:w="120" w:type="dxa"/>
              <w:right w:w="120" w:type="dxa"/>
            </w:tcMar>
          </w:tcPr>
          <w:p>
            <w:pPr>
              <w:jc w:val="left"/>
            </w:pPr>
            <w:r>
              <w:rPr>
                <w:rFonts w:ascii="Calibri" w:hAnsi="Calibri"/>
                <w:color w:val="333333"/>
                <w:sz w:val="19"/>
              </w:rPr>
              <w:t>1</w:t>
            </w:r>
          </w:p>
        </w:tc>
        <w:tc>
          <w:tcPr>
            <w:tcW w:type="dxa" w:w="3168"/>
            <w:shd w:fill="FFFFFF"/>
            <w:tcMar>
              <w:top w:w="80" w:type="dxa"/>
              <w:bottom w:w="80" w:type="dxa"/>
              <w:left w:w="120" w:type="dxa"/>
              <w:right w:w="120" w:type="dxa"/>
            </w:tcMar>
          </w:tcPr>
          <w:p>
            <w:pPr>
              <w:jc w:val="center"/>
            </w:pPr>
            <w:r>
              <w:rPr>
                <w:rFonts w:ascii="Calibri" w:hAnsi="Calibri"/>
                <w:color w:val="333333"/>
                <w:sz w:val="19"/>
              </w:rPr>
              <w:t>United States</w:t>
            </w:r>
          </w:p>
        </w:tc>
        <w:tc>
          <w:tcPr>
            <w:tcW w:type="dxa" w:w="2880"/>
            <w:shd w:fill="FFFFFF"/>
            <w:tcMar>
              <w:top w:w="80" w:type="dxa"/>
              <w:bottom w:w="80" w:type="dxa"/>
              <w:left w:w="120" w:type="dxa"/>
              <w:right w:w="120" w:type="dxa"/>
            </w:tcMar>
          </w:tcPr>
          <w:p>
            <w:pPr>
              <w:jc w:val="center"/>
            </w:pPr>
            <w:r>
              <w:rPr>
                <w:rFonts w:ascii="Calibri" w:hAnsi="Calibri"/>
                <w:color w:val="333333"/>
                <w:sz w:val="19"/>
              </w:rPr>
              <w:t>3,297</w:t>
            </w:r>
          </w:p>
        </w:tc>
        <w:tc>
          <w:tcPr>
            <w:tcW w:type="dxa" w:w="2880"/>
            <w:shd w:fill="FFFFFF"/>
            <w:tcMar>
              <w:top w:w="80" w:type="dxa"/>
              <w:bottom w:w="80" w:type="dxa"/>
              <w:left w:w="120" w:type="dxa"/>
              <w:right w:w="120" w:type="dxa"/>
            </w:tcMar>
          </w:tcPr>
          <w:p>
            <w:pPr>
              <w:jc w:val="center"/>
            </w:pPr>
            <w:r>
              <w:rPr>
                <w:rFonts w:ascii="Calibri" w:hAnsi="Calibri"/>
                <w:color w:val="333333"/>
                <w:sz w:val="19"/>
              </w:rPr>
              <w:t>42.34%</w:t>
            </w:r>
          </w:p>
        </w:tc>
      </w:tr>
      <w:tr>
        <w:tc>
          <w:tcPr>
            <w:tcW w:type="dxa" w:w="1152"/>
            <w:shd w:fill="F9FAFC"/>
            <w:tcMar>
              <w:top w:w="80" w:type="dxa"/>
              <w:bottom w:w="80" w:type="dxa"/>
              <w:left w:w="120" w:type="dxa"/>
              <w:right w:w="120" w:type="dxa"/>
            </w:tcMar>
          </w:tcPr>
          <w:p>
            <w:pPr>
              <w:jc w:val="left"/>
            </w:pPr>
            <w:r>
              <w:rPr>
                <w:rFonts w:ascii="Calibri" w:hAnsi="Calibri"/>
                <w:color w:val="333333"/>
                <w:sz w:val="19"/>
              </w:rPr>
              <w:t>2</w:t>
            </w:r>
          </w:p>
        </w:tc>
        <w:tc>
          <w:tcPr>
            <w:tcW w:type="dxa" w:w="3168"/>
            <w:shd w:fill="F9FAFC"/>
            <w:tcMar>
              <w:top w:w="80" w:type="dxa"/>
              <w:bottom w:w="80" w:type="dxa"/>
              <w:left w:w="120" w:type="dxa"/>
              <w:right w:w="120" w:type="dxa"/>
            </w:tcMar>
          </w:tcPr>
          <w:p>
            <w:pPr>
              <w:jc w:val="center"/>
            </w:pPr>
            <w:r>
              <w:rPr>
                <w:rFonts w:ascii="Calibri" w:hAnsi="Calibri"/>
                <w:color w:val="333333"/>
                <w:sz w:val="19"/>
              </w:rPr>
              <w:t>India</w:t>
            </w:r>
          </w:p>
        </w:tc>
        <w:tc>
          <w:tcPr>
            <w:tcW w:type="dxa" w:w="2880"/>
            <w:shd w:fill="F9FAFC"/>
            <w:tcMar>
              <w:top w:w="80" w:type="dxa"/>
              <w:bottom w:w="80" w:type="dxa"/>
              <w:left w:w="120" w:type="dxa"/>
              <w:right w:w="120" w:type="dxa"/>
            </w:tcMar>
          </w:tcPr>
          <w:p>
            <w:pPr>
              <w:jc w:val="center"/>
            </w:pPr>
            <w:r>
              <w:rPr>
                <w:rFonts w:ascii="Calibri" w:hAnsi="Calibri"/>
                <w:color w:val="333333"/>
                <w:sz w:val="19"/>
              </w:rPr>
              <w:t>990</w:t>
            </w:r>
          </w:p>
        </w:tc>
        <w:tc>
          <w:tcPr>
            <w:tcW w:type="dxa" w:w="2880"/>
            <w:shd w:fill="F9FAFC"/>
            <w:tcMar>
              <w:top w:w="80" w:type="dxa"/>
              <w:bottom w:w="80" w:type="dxa"/>
              <w:left w:w="120" w:type="dxa"/>
              <w:right w:w="120" w:type="dxa"/>
            </w:tcMar>
          </w:tcPr>
          <w:p>
            <w:pPr>
              <w:jc w:val="center"/>
            </w:pPr>
            <w:r>
              <w:rPr>
                <w:rFonts w:ascii="Calibri" w:hAnsi="Calibri"/>
                <w:color w:val="333333"/>
                <w:sz w:val="19"/>
              </w:rPr>
              <w:t>12.71%</w:t>
            </w:r>
          </w:p>
        </w:tc>
      </w:tr>
      <w:tr>
        <w:tc>
          <w:tcPr>
            <w:tcW w:type="dxa" w:w="1152"/>
            <w:shd w:fill="FFFFFF"/>
            <w:tcMar>
              <w:top w:w="80" w:type="dxa"/>
              <w:bottom w:w="80" w:type="dxa"/>
              <w:left w:w="120" w:type="dxa"/>
              <w:right w:w="120" w:type="dxa"/>
            </w:tcMar>
          </w:tcPr>
          <w:p>
            <w:pPr>
              <w:jc w:val="left"/>
            </w:pPr>
            <w:r>
              <w:rPr>
                <w:rFonts w:ascii="Calibri" w:hAnsi="Calibri"/>
                <w:color w:val="333333"/>
                <w:sz w:val="19"/>
              </w:rPr>
              <w:t>3</w:t>
            </w:r>
          </w:p>
        </w:tc>
        <w:tc>
          <w:tcPr>
            <w:tcW w:type="dxa" w:w="3168"/>
            <w:shd w:fill="FFFFFF"/>
            <w:tcMar>
              <w:top w:w="80" w:type="dxa"/>
              <w:bottom w:w="80" w:type="dxa"/>
              <w:left w:w="120" w:type="dxa"/>
              <w:right w:w="120" w:type="dxa"/>
            </w:tcMar>
          </w:tcPr>
          <w:p>
            <w:pPr>
              <w:jc w:val="center"/>
            </w:pPr>
            <w:r>
              <w:rPr>
                <w:rFonts w:ascii="Calibri" w:hAnsi="Calibri"/>
                <w:color w:val="333333"/>
                <w:sz w:val="19"/>
              </w:rPr>
              <w:t>United Kingdom</w:t>
            </w:r>
          </w:p>
        </w:tc>
        <w:tc>
          <w:tcPr>
            <w:tcW w:type="dxa" w:w="2880"/>
            <w:shd w:fill="FFFFFF"/>
            <w:tcMar>
              <w:top w:w="80" w:type="dxa"/>
              <w:bottom w:w="80" w:type="dxa"/>
              <w:left w:w="120" w:type="dxa"/>
              <w:right w:w="120" w:type="dxa"/>
            </w:tcMar>
          </w:tcPr>
          <w:p>
            <w:pPr>
              <w:jc w:val="center"/>
            </w:pPr>
            <w:r>
              <w:rPr>
                <w:rFonts w:ascii="Calibri" w:hAnsi="Calibri"/>
                <w:color w:val="333333"/>
                <w:sz w:val="19"/>
              </w:rPr>
              <w:t>723</w:t>
            </w:r>
          </w:p>
        </w:tc>
        <w:tc>
          <w:tcPr>
            <w:tcW w:type="dxa" w:w="2880"/>
            <w:shd w:fill="FFFFFF"/>
            <w:tcMar>
              <w:top w:w="80" w:type="dxa"/>
              <w:bottom w:w="80" w:type="dxa"/>
              <w:left w:w="120" w:type="dxa"/>
              <w:right w:w="120" w:type="dxa"/>
            </w:tcMar>
          </w:tcPr>
          <w:p>
            <w:pPr>
              <w:jc w:val="center"/>
            </w:pPr>
            <w:r>
              <w:rPr>
                <w:rFonts w:ascii="Calibri" w:hAnsi="Calibri"/>
                <w:color w:val="333333"/>
                <w:sz w:val="19"/>
              </w:rPr>
              <w:t>9.28%</w:t>
            </w:r>
          </w:p>
        </w:tc>
      </w:tr>
      <w:tr>
        <w:tc>
          <w:tcPr>
            <w:tcW w:type="dxa" w:w="1152"/>
            <w:shd w:fill="F9FAFC"/>
            <w:tcMar>
              <w:top w:w="80" w:type="dxa"/>
              <w:bottom w:w="80" w:type="dxa"/>
              <w:left w:w="120" w:type="dxa"/>
              <w:right w:w="120" w:type="dxa"/>
            </w:tcMar>
          </w:tcPr>
          <w:p>
            <w:pPr>
              <w:jc w:val="left"/>
            </w:pPr>
            <w:r>
              <w:rPr>
                <w:rFonts w:ascii="Calibri" w:hAnsi="Calibri"/>
                <w:color w:val="333333"/>
                <w:sz w:val="19"/>
              </w:rPr>
              <w:t>4</w:t>
            </w:r>
          </w:p>
        </w:tc>
        <w:tc>
          <w:tcPr>
            <w:tcW w:type="dxa" w:w="3168"/>
            <w:shd w:fill="F9FAFC"/>
            <w:tcMar>
              <w:top w:w="80" w:type="dxa"/>
              <w:bottom w:w="80" w:type="dxa"/>
              <w:left w:w="120" w:type="dxa"/>
              <w:right w:w="120" w:type="dxa"/>
            </w:tcMar>
          </w:tcPr>
          <w:p>
            <w:pPr>
              <w:jc w:val="center"/>
            </w:pPr>
            <w:r>
              <w:rPr>
                <w:rFonts w:ascii="Calibri" w:hAnsi="Calibri"/>
                <w:color w:val="333333"/>
                <w:sz w:val="19"/>
              </w:rPr>
              <w:t>Canada</w:t>
            </w:r>
          </w:p>
        </w:tc>
        <w:tc>
          <w:tcPr>
            <w:tcW w:type="dxa" w:w="2880"/>
            <w:shd w:fill="F9FAFC"/>
            <w:tcMar>
              <w:top w:w="80" w:type="dxa"/>
              <w:bottom w:w="80" w:type="dxa"/>
              <w:left w:w="120" w:type="dxa"/>
              <w:right w:w="120" w:type="dxa"/>
            </w:tcMar>
          </w:tcPr>
          <w:p>
            <w:pPr>
              <w:jc w:val="center"/>
            </w:pPr>
            <w:r>
              <w:rPr>
                <w:rFonts w:ascii="Calibri" w:hAnsi="Calibri"/>
                <w:color w:val="333333"/>
                <w:sz w:val="19"/>
              </w:rPr>
              <w:t>412</w:t>
            </w:r>
          </w:p>
        </w:tc>
        <w:tc>
          <w:tcPr>
            <w:tcW w:type="dxa" w:w="2880"/>
            <w:shd w:fill="F9FAFC"/>
            <w:tcMar>
              <w:top w:w="80" w:type="dxa"/>
              <w:bottom w:w="80" w:type="dxa"/>
              <w:left w:w="120" w:type="dxa"/>
              <w:right w:w="120" w:type="dxa"/>
            </w:tcMar>
          </w:tcPr>
          <w:p>
            <w:pPr>
              <w:jc w:val="center"/>
            </w:pPr>
            <w:r>
              <w:rPr>
                <w:rFonts w:ascii="Calibri" w:hAnsi="Calibri"/>
                <w:color w:val="333333"/>
                <w:sz w:val="19"/>
              </w:rPr>
              <w:t>5.29%</w:t>
            </w:r>
          </w:p>
        </w:tc>
      </w:tr>
      <w:tr>
        <w:tc>
          <w:tcPr>
            <w:tcW w:type="dxa" w:w="1152"/>
            <w:shd w:fill="FFFFFF"/>
            <w:tcMar>
              <w:top w:w="80" w:type="dxa"/>
              <w:bottom w:w="80" w:type="dxa"/>
              <w:left w:w="120" w:type="dxa"/>
              <w:right w:w="120" w:type="dxa"/>
            </w:tcMar>
          </w:tcPr>
          <w:p>
            <w:pPr>
              <w:jc w:val="left"/>
            </w:pPr>
            <w:r>
              <w:rPr>
                <w:rFonts w:ascii="Calibri" w:hAnsi="Calibri"/>
                <w:color w:val="333333"/>
                <w:sz w:val="19"/>
              </w:rPr>
              <w:t>5</w:t>
            </w:r>
          </w:p>
        </w:tc>
        <w:tc>
          <w:tcPr>
            <w:tcW w:type="dxa" w:w="3168"/>
            <w:shd w:fill="FFFFFF"/>
            <w:tcMar>
              <w:top w:w="80" w:type="dxa"/>
              <w:bottom w:w="80" w:type="dxa"/>
              <w:left w:w="120" w:type="dxa"/>
              <w:right w:w="120" w:type="dxa"/>
            </w:tcMar>
          </w:tcPr>
          <w:p>
            <w:pPr>
              <w:jc w:val="center"/>
            </w:pPr>
            <w:r>
              <w:rPr>
                <w:rFonts w:ascii="Calibri" w:hAnsi="Calibri"/>
                <w:color w:val="333333"/>
                <w:sz w:val="19"/>
              </w:rPr>
              <w:t>France</w:t>
            </w:r>
          </w:p>
        </w:tc>
        <w:tc>
          <w:tcPr>
            <w:tcW w:type="dxa" w:w="2880"/>
            <w:shd w:fill="FFFFFF"/>
            <w:tcMar>
              <w:top w:w="80" w:type="dxa"/>
              <w:bottom w:w="80" w:type="dxa"/>
              <w:left w:w="120" w:type="dxa"/>
              <w:right w:w="120" w:type="dxa"/>
            </w:tcMar>
          </w:tcPr>
          <w:p>
            <w:pPr>
              <w:jc w:val="center"/>
            </w:pPr>
            <w:r>
              <w:rPr>
                <w:rFonts w:ascii="Calibri" w:hAnsi="Calibri"/>
                <w:color w:val="333333"/>
                <w:sz w:val="19"/>
              </w:rPr>
              <w:t>349</w:t>
            </w:r>
          </w:p>
        </w:tc>
        <w:tc>
          <w:tcPr>
            <w:tcW w:type="dxa" w:w="2880"/>
            <w:shd w:fill="FFFFFF"/>
            <w:tcMar>
              <w:top w:w="80" w:type="dxa"/>
              <w:bottom w:w="80" w:type="dxa"/>
              <w:left w:w="120" w:type="dxa"/>
              <w:right w:w="120" w:type="dxa"/>
            </w:tcMar>
          </w:tcPr>
          <w:p>
            <w:pPr>
              <w:jc w:val="center"/>
            </w:pPr>
            <w:r>
              <w:rPr>
                <w:rFonts w:ascii="Calibri" w:hAnsi="Calibri"/>
                <w:color w:val="333333"/>
                <w:sz w:val="19"/>
              </w:rPr>
              <w:t>4.48%</w:t>
            </w:r>
          </w:p>
        </w:tc>
      </w:tr>
      <w:tr>
        <w:tc>
          <w:tcPr>
            <w:tcW w:type="dxa" w:w="1152"/>
            <w:shd w:fill="F9FAFC"/>
            <w:tcMar>
              <w:top w:w="80" w:type="dxa"/>
              <w:bottom w:w="80" w:type="dxa"/>
              <w:left w:w="120" w:type="dxa"/>
              <w:right w:w="120" w:type="dxa"/>
            </w:tcMar>
          </w:tcPr>
          <w:p>
            <w:pPr>
              <w:jc w:val="left"/>
            </w:pPr>
            <w:r>
              <w:rPr>
                <w:rFonts w:ascii="Calibri" w:hAnsi="Calibri"/>
                <w:color w:val="333333"/>
                <w:sz w:val="19"/>
              </w:rPr>
              <w:t>6</w:t>
            </w:r>
          </w:p>
        </w:tc>
        <w:tc>
          <w:tcPr>
            <w:tcW w:type="dxa" w:w="3168"/>
            <w:shd w:fill="F9FAFC"/>
            <w:tcMar>
              <w:top w:w="80" w:type="dxa"/>
              <w:bottom w:w="80" w:type="dxa"/>
              <w:left w:w="120" w:type="dxa"/>
              <w:right w:w="120" w:type="dxa"/>
            </w:tcMar>
          </w:tcPr>
          <w:p>
            <w:pPr>
              <w:jc w:val="center"/>
            </w:pPr>
            <w:r>
              <w:rPr>
                <w:rFonts w:ascii="Calibri" w:hAnsi="Calibri"/>
                <w:color w:val="333333"/>
                <w:sz w:val="19"/>
              </w:rPr>
              <w:t>Japan</w:t>
            </w:r>
          </w:p>
        </w:tc>
        <w:tc>
          <w:tcPr>
            <w:tcW w:type="dxa" w:w="2880"/>
            <w:shd w:fill="F9FAFC"/>
            <w:tcMar>
              <w:top w:w="80" w:type="dxa"/>
              <w:bottom w:w="80" w:type="dxa"/>
              <w:left w:w="120" w:type="dxa"/>
              <w:right w:w="120" w:type="dxa"/>
            </w:tcMar>
          </w:tcPr>
          <w:p>
            <w:pPr>
              <w:jc w:val="center"/>
            </w:pPr>
            <w:r>
              <w:rPr>
                <w:rFonts w:ascii="Calibri" w:hAnsi="Calibri"/>
                <w:color w:val="333333"/>
                <w:sz w:val="19"/>
              </w:rPr>
              <w:t>287</w:t>
            </w:r>
          </w:p>
        </w:tc>
        <w:tc>
          <w:tcPr>
            <w:tcW w:type="dxa" w:w="2880"/>
            <w:shd w:fill="F9FAFC"/>
            <w:tcMar>
              <w:top w:w="80" w:type="dxa"/>
              <w:bottom w:w="80" w:type="dxa"/>
              <w:left w:w="120" w:type="dxa"/>
              <w:right w:w="120" w:type="dxa"/>
            </w:tcMar>
          </w:tcPr>
          <w:p>
            <w:pPr>
              <w:jc w:val="center"/>
            </w:pPr>
            <w:r>
              <w:rPr>
                <w:rFonts w:ascii="Calibri" w:hAnsi="Calibri"/>
                <w:color w:val="333333"/>
                <w:sz w:val="19"/>
              </w:rPr>
              <w:t>3.69%</w:t>
            </w:r>
          </w:p>
        </w:tc>
      </w:tr>
      <w:tr>
        <w:tc>
          <w:tcPr>
            <w:tcW w:type="dxa" w:w="1152"/>
            <w:shd w:fill="FFFFFF"/>
            <w:tcMar>
              <w:top w:w="80" w:type="dxa"/>
              <w:bottom w:w="80" w:type="dxa"/>
              <w:left w:w="120" w:type="dxa"/>
              <w:right w:w="120" w:type="dxa"/>
            </w:tcMar>
          </w:tcPr>
          <w:p>
            <w:pPr>
              <w:jc w:val="left"/>
            </w:pPr>
            <w:r>
              <w:rPr>
                <w:rFonts w:ascii="Calibri" w:hAnsi="Calibri"/>
                <w:color w:val="333333"/>
                <w:sz w:val="19"/>
              </w:rPr>
              <w:t>7</w:t>
            </w:r>
          </w:p>
        </w:tc>
        <w:tc>
          <w:tcPr>
            <w:tcW w:type="dxa" w:w="3168"/>
            <w:shd w:fill="FFFFFF"/>
            <w:tcMar>
              <w:top w:w="80" w:type="dxa"/>
              <w:bottom w:w="80" w:type="dxa"/>
              <w:left w:w="120" w:type="dxa"/>
              <w:right w:w="120" w:type="dxa"/>
            </w:tcMar>
          </w:tcPr>
          <w:p>
            <w:pPr>
              <w:jc w:val="center"/>
            </w:pPr>
            <w:r>
              <w:rPr>
                <w:rFonts w:ascii="Calibri" w:hAnsi="Calibri"/>
                <w:color w:val="333333"/>
                <w:sz w:val="19"/>
              </w:rPr>
              <w:t>Spain</w:t>
            </w:r>
          </w:p>
        </w:tc>
        <w:tc>
          <w:tcPr>
            <w:tcW w:type="dxa" w:w="2880"/>
            <w:shd w:fill="FFFFFF"/>
            <w:tcMar>
              <w:top w:w="80" w:type="dxa"/>
              <w:bottom w:w="80" w:type="dxa"/>
              <w:left w:w="120" w:type="dxa"/>
              <w:right w:w="120" w:type="dxa"/>
            </w:tcMar>
          </w:tcPr>
          <w:p>
            <w:pPr>
              <w:jc w:val="center"/>
            </w:pPr>
            <w:r>
              <w:rPr>
                <w:rFonts w:ascii="Calibri" w:hAnsi="Calibri"/>
                <w:color w:val="333333"/>
                <w:sz w:val="19"/>
              </w:rPr>
              <w:t>215</w:t>
            </w:r>
          </w:p>
        </w:tc>
        <w:tc>
          <w:tcPr>
            <w:tcW w:type="dxa" w:w="2880"/>
            <w:shd w:fill="FFFFFF"/>
            <w:tcMar>
              <w:top w:w="80" w:type="dxa"/>
              <w:bottom w:w="80" w:type="dxa"/>
              <w:left w:w="120" w:type="dxa"/>
              <w:right w:w="120" w:type="dxa"/>
            </w:tcMar>
          </w:tcPr>
          <w:p>
            <w:pPr>
              <w:jc w:val="center"/>
            </w:pPr>
            <w:r>
              <w:rPr>
                <w:rFonts w:ascii="Calibri" w:hAnsi="Calibri"/>
                <w:color w:val="333333"/>
                <w:sz w:val="19"/>
              </w:rPr>
              <w:t>2.76%</w:t>
            </w:r>
          </w:p>
        </w:tc>
      </w:tr>
      <w:tr>
        <w:tc>
          <w:tcPr>
            <w:tcW w:type="dxa" w:w="1152"/>
            <w:shd w:fill="F9FAFC"/>
            <w:tcMar>
              <w:top w:w="80" w:type="dxa"/>
              <w:bottom w:w="80" w:type="dxa"/>
              <w:left w:w="120" w:type="dxa"/>
              <w:right w:w="120" w:type="dxa"/>
            </w:tcMar>
          </w:tcPr>
          <w:p>
            <w:pPr>
              <w:jc w:val="left"/>
            </w:pPr>
            <w:r>
              <w:rPr>
                <w:rFonts w:ascii="Calibri" w:hAnsi="Calibri"/>
                <w:color w:val="333333"/>
                <w:sz w:val="19"/>
              </w:rPr>
              <w:t>8</w:t>
            </w:r>
          </w:p>
        </w:tc>
        <w:tc>
          <w:tcPr>
            <w:tcW w:type="dxa" w:w="3168"/>
            <w:shd w:fill="F9FAFC"/>
            <w:tcMar>
              <w:top w:w="80" w:type="dxa"/>
              <w:bottom w:w="80" w:type="dxa"/>
              <w:left w:w="120" w:type="dxa"/>
              <w:right w:w="120" w:type="dxa"/>
            </w:tcMar>
          </w:tcPr>
          <w:p>
            <w:pPr>
              <w:jc w:val="center"/>
            </w:pPr>
            <w:r>
              <w:rPr>
                <w:rFonts w:ascii="Calibri" w:hAnsi="Calibri"/>
                <w:color w:val="333333"/>
                <w:sz w:val="19"/>
              </w:rPr>
              <w:t>South Korea</w:t>
            </w:r>
          </w:p>
        </w:tc>
        <w:tc>
          <w:tcPr>
            <w:tcW w:type="dxa" w:w="2880"/>
            <w:shd w:fill="F9FAFC"/>
            <w:tcMar>
              <w:top w:w="80" w:type="dxa"/>
              <w:bottom w:w="80" w:type="dxa"/>
              <w:left w:w="120" w:type="dxa"/>
              <w:right w:w="120" w:type="dxa"/>
            </w:tcMar>
          </w:tcPr>
          <w:p>
            <w:pPr>
              <w:jc w:val="center"/>
            </w:pPr>
            <w:r>
              <w:rPr>
                <w:rFonts w:ascii="Calibri" w:hAnsi="Calibri"/>
                <w:color w:val="333333"/>
                <w:sz w:val="19"/>
              </w:rPr>
              <w:t>212</w:t>
            </w:r>
          </w:p>
        </w:tc>
        <w:tc>
          <w:tcPr>
            <w:tcW w:type="dxa" w:w="2880"/>
            <w:shd w:fill="F9FAFC"/>
            <w:tcMar>
              <w:top w:w="80" w:type="dxa"/>
              <w:bottom w:w="80" w:type="dxa"/>
              <w:left w:w="120" w:type="dxa"/>
              <w:right w:w="120" w:type="dxa"/>
            </w:tcMar>
          </w:tcPr>
          <w:p>
            <w:pPr>
              <w:jc w:val="center"/>
            </w:pPr>
            <w:r>
              <w:rPr>
                <w:rFonts w:ascii="Calibri" w:hAnsi="Calibri"/>
                <w:color w:val="333333"/>
                <w:sz w:val="19"/>
              </w:rPr>
              <w:t>2.72%</w:t>
            </w:r>
          </w:p>
        </w:tc>
      </w:tr>
      <w:tr>
        <w:tc>
          <w:tcPr>
            <w:tcW w:type="dxa" w:w="1152"/>
            <w:shd w:fill="FFFFFF"/>
            <w:tcMar>
              <w:top w:w="80" w:type="dxa"/>
              <w:bottom w:w="80" w:type="dxa"/>
              <w:left w:w="120" w:type="dxa"/>
              <w:right w:w="120" w:type="dxa"/>
            </w:tcMar>
          </w:tcPr>
          <w:p>
            <w:pPr>
              <w:jc w:val="left"/>
            </w:pPr>
            <w:r>
              <w:rPr>
                <w:rFonts w:ascii="Calibri" w:hAnsi="Calibri"/>
                <w:color w:val="333333"/>
                <w:sz w:val="19"/>
              </w:rPr>
              <w:t>9</w:t>
            </w:r>
          </w:p>
        </w:tc>
        <w:tc>
          <w:tcPr>
            <w:tcW w:type="dxa" w:w="3168"/>
            <w:shd w:fill="FFFFFF"/>
            <w:tcMar>
              <w:top w:w="80" w:type="dxa"/>
              <w:bottom w:w="80" w:type="dxa"/>
              <w:left w:w="120" w:type="dxa"/>
              <w:right w:w="120" w:type="dxa"/>
            </w:tcMar>
          </w:tcPr>
          <w:p>
            <w:pPr>
              <w:jc w:val="center"/>
            </w:pPr>
            <w:r>
              <w:rPr>
                <w:rFonts w:ascii="Calibri" w:hAnsi="Calibri"/>
                <w:color w:val="333333"/>
                <w:sz w:val="19"/>
              </w:rPr>
              <w:t>Germany</w:t>
            </w:r>
          </w:p>
        </w:tc>
        <w:tc>
          <w:tcPr>
            <w:tcW w:type="dxa" w:w="2880"/>
            <w:shd w:fill="FFFFFF"/>
            <w:tcMar>
              <w:top w:w="80" w:type="dxa"/>
              <w:bottom w:w="80" w:type="dxa"/>
              <w:left w:w="120" w:type="dxa"/>
              <w:right w:w="120" w:type="dxa"/>
            </w:tcMar>
          </w:tcPr>
          <w:p>
            <w:pPr>
              <w:jc w:val="center"/>
            </w:pPr>
            <w:r>
              <w:rPr>
                <w:rFonts w:ascii="Calibri" w:hAnsi="Calibri"/>
                <w:color w:val="333333"/>
                <w:sz w:val="19"/>
              </w:rPr>
              <w:t>199</w:t>
            </w:r>
          </w:p>
        </w:tc>
        <w:tc>
          <w:tcPr>
            <w:tcW w:type="dxa" w:w="2880"/>
            <w:shd w:fill="FFFFFF"/>
            <w:tcMar>
              <w:top w:w="80" w:type="dxa"/>
              <w:bottom w:w="80" w:type="dxa"/>
              <w:left w:w="120" w:type="dxa"/>
              <w:right w:w="120" w:type="dxa"/>
            </w:tcMar>
          </w:tcPr>
          <w:p>
            <w:pPr>
              <w:jc w:val="center"/>
            </w:pPr>
            <w:r>
              <w:rPr>
                <w:rFonts w:ascii="Calibri" w:hAnsi="Calibri"/>
                <w:color w:val="333333"/>
                <w:sz w:val="19"/>
              </w:rPr>
              <w:t>2.56%</w:t>
            </w:r>
          </w:p>
        </w:tc>
      </w:tr>
      <w:tr>
        <w:tc>
          <w:tcPr>
            <w:tcW w:type="dxa" w:w="1152"/>
            <w:shd w:fill="F9FAFC"/>
            <w:tcMar>
              <w:top w:w="80" w:type="dxa"/>
              <w:bottom w:w="80" w:type="dxa"/>
              <w:left w:w="120" w:type="dxa"/>
              <w:right w:w="120" w:type="dxa"/>
            </w:tcMar>
          </w:tcPr>
          <w:p>
            <w:pPr>
              <w:jc w:val="left"/>
            </w:pPr>
            <w:r>
              <w:rPr>
                <w:rFonts w:ascii="Calibri" w:hAnsi="Calibri"/>
                <w:color w:val="333333"/>
                <w:sz w:val="19"/>
              </w:rPr>
              <w:t>10</w:t>
            </w:r>
          </w:p>
        </w:tc>
        <w:tc>
          <w:tcPr>
            <w:tcW w:type="dxa" w:w="3168"/>
            <w:shd w:fill="F9FAFC"/>
            <w:tcMar>
              <w:top w:w="80" w:type="dxa"/>
              <w:bottom w:w="80" w:type="dxa"/>
              <w:left w:w="120" w:type="dxa"/>
              <w:right w:w="120" w:type="dxa"/>
            </w:tcMar>
          </w:tcPr>
          <w:p>
            <w:pPr>
              <w:jc w:val="center"/>
            </w:pPr>
            <w:r>
              <w:rPr>
                <w:rFonts w:ascii="Calibri" w:hAnsi="Calibri"/>
                <w:color w:val="333333"/>
                <w:sz w:val="19"/>
              </w:rPr>
              <w:t>Mexico</w:t>
            </w:r>
          </w:p>
        </w:tc>
        <w:tc>
          <w:tcPr>
            <w:tcW w:type="dxa" w:w="2880"/>
            <w:shd w:fill="F9FAFC"/>
            <w:tcMar>
              <w:top w:w="80" w:type="dxa"/>
              <w:bottom w:w="80" w:type="dxa"/>
              <w:left w:w="120" w:type="dxa"/>
              <w:right w:w="120" w:type="dxa"/>
            </w:tcMar>
          </w:tcPr>
          <w:p>
            <w:pPr>
              <w:jc w:val="center"/>
            </w:pPr>
            <w:r>
              <w:rPr>
                <w:rFonts w:ascii="Calibri" w:hAnsi="Calibri"/>
                <w:color w:val="333333"/>
                <w:sz w:val="19"/>
              </w:rPr>
              <w:t>154</w:t>
            </w:r>
          </w:p>
        </w:tc>
        <w:tc>
          <w:tcPr>
            <w:tcW w:type="dxa" w:w="2880"/>
            <w:shd w:fill="F9FAFC"/>
            <w:tcMar>
              <w:top w:w="80" w:type="dxa"/>
              <w:bottom w:w="80" w:type="dxa"/>
              <w:left w:w="120" w:type="dxa"/>
              <w:right w:w="120" w:type="dxa"/>
            </w:tcMar>
          </w:tcPr>
          <w:p>
            <w:pPr>
              <w:jc w:val="center"/>
            </w:pPr>
            <w:r>
              <w:rPr>
                <w:rFonts w:ascii="Calibri" w:hAnsi="Calibri"/>
                <w:color w:val="333333"/>
                <w:sz w:val="19"/>
              </w:rPr>
              <w:t>1.98%</w:t>
            </w:r>
          </w:p>
        </w:tc>
      </w:tr>
    </w:tbl>
    <w:p>
      <w:pPr>
        <w:spacing w:after="120"/>
      </w:pPr>
    </w:p>
    <w:p>
      <w:pPr>
        <w:keepNext/>
        <w:spacing w:before="160" w:after="40"/>
        <w:jc w:val="center"/>
      </w:pPr>
      <w:r>
        <w:drawing>
          <wp:inline xmlns:a="http://schemas.openxmlformats.org/drawingml/2006/main" xmlns:pic="http://schemas.openxmlformats.org/drawingml/2006/picture">
            <wp:extent cx="5486400" cy="2992582"/>
            <wp:docPr id="4" name="Picture 4"/>
            <wp:cNvGraphicFramePr>
              <a:graphicFrameLocks noChangeAspect="1"/>
            </wp:cNvGraphicFramePr>
            <a:graphic>
              <a:graphicData uri="http://schemas.openxmlformats.org/drawingml/2006/picture">
                <pic:pic>
                  <pic:nvPicPr>
                    <pic:cNvPr id="0" name="w2_12_country_type_breakdown.png"/>
                    <pic:cNvPicPr/>
                  </pic:nvPicPr>
                  <pic:blipFill>
                    <a:blip r:embed="rId13"/>
                    <a:stretch>
                      <a:fillRect/>
                    </a:stretch>
                  </pic:blipFill>
                  <pic:spPr>
                    <a:xfrm>
                      <a:off x="0" y="0"/>
                      <a:ext cx="5486400" cy="2992582"/>
                    </a:xfrm>
                    <a:prstGeom prst="rect"/>
                  </pic:spPr>
                </pic:pic>
              </a:graphicData>
            </a:graphic>
          </wp:inline>
        </w:drawing>
      </w:r>
    </w:p>
    <w:p>
      <w:pPr>
        <w:spacing w:before="40" w:after="200"/>
        <w:jc w:val="center"/>
      </w:pPr>
      <w:r>
        <w:rPr>
          <w:rFonts w:ascii="Calibri" w:hAnsi="Calibri"/>
          <w:b/>
          <w:color w:val="E50914"/>
          <w:sz w:val="19"/>
        </w:rPr>
        <w:t xml:space="preserve">Figure 4: </w:t>
      </w:r>
      <w:r>
        <w:rPr>
          <w:rFonts w:ascii="Calibri" w:hAnsi="Calibri"/>
          <w:b/>
          <w:color w:val="221F1F"/>
          <w:sz w:val="19"/>
        </w:rPr>
        <w:t xml:space="preserve">Movie vs. TV Show Split for Top Countries — </w:t>
      </w:r>
      <w:r>
        <w:rPr>
          <w:rFonts w:ascii="Calibri" w:hAnsi="Calibri"/>
          <w:i/>
          <w:color w:val="333333"/>
          <w:sz w:val="19"/>
        </w:rPr>
        <w:t>Stacked bar chart illustrating content format preferences across top producing nations.</w:t>
      </w:r>
    </w:p>
    <w:p>
      <w:pPr>
        <w:spacing w:before="0" w:after="120" w:line="276" w:lineRule="auto"/>
      </w:pPr>
      <w:r>
        <w:rPr>
          <w:rFonts w:ascii="Calibri" w:hAnsi="Calibri"/>
          <w:b/>
          <w:color w:val="333333"/>
          <w:sz w:val="22"/>
        </w:rPr>
        <w:t xml:space="preserve">Insight: </w:t>
      </w:r>
      <w:r>
        <w:rPr>
          <w:rFonts w:ascii="Calibri" w:hAnsi="Calibri"/>
          <w:color w:val="333333"/>
          <w:sz w:val="22"/>
        </w:rPr>
        <w:t xml:space="preserve">Geographic Content Divergence: </w:t>
      </w:r>
    </w:p>
    <w:p>
      <w:pPr>
        <w:spacing w:before="0" w:after="120" w:line="276" w:lineRule="auto"/>
      </w:pPr>
      <w:r>
        <w:rPr>
          <w:rFonts w:ascii="Calibri" w:hAnsi="Calibri"/>
          <w:color w:val="333333"/>
          <w:sz w:val="22"/>
        </w:rPr>
        <w:t>India exhibits an overwhelming bias toward feature films (over 90% Movies), whereas South Korea and Japan demonstrate strong structural preferences toward TV series (K-Dramas and Anime series).</w:t>
      </w:r>
    </w:p>
    <w:p>
      <w:pPr>
        <w:keepNext/>
        <w:spacing w:before="240" w:after="80"/>
      </w:pPr>
      <w:r>
        <w:rPr>
          <w:rFonts w:ascii="Calibri" w:hAnsi="Calibri"/>
          <w:b/>
          <w:color w:val="1A5276"/>
          <w:sz w:val="28"/>
        </w:rPr>
        <w:t>7.4 Genre Taxonomy &amp; Distribution</w:t>
      </w:r>
    </w:p>
    <w:p>
      <w:pPr>
        <w:spacing w:before="0" w:after="120" w:line="276" w:lineRule="auto"/>
      </w:pPr>
      <w:r>
        <w:rPr>
          <w:rFonts w:ascii="Calibri" w:hAnsi="Calibri"/>
          <w:color w:val="333333"/>
          <w:sz w:val="22"/>
        </w:rPr>
        <w:t>Unnesting listed genres reveals that 'International Movies' is the single most frequent classification (2,437 titles), followed by 'Dramas' (2,106 titles) and 'Comedies' (1,471 titles).</w:t>
      </w:r>
    </w:p>
    <w:p>
      <w:pPr>
        <w:keepNext/>
        <w:spacing w:before="160" w:after="40"/>
        <w:jc w:val="center"/>
      </w:pPr>
      <w:r>
        <w:drawing>
          <wp:inline xmlns:a="http://schemas.openxmlformats.org/drawingml/2006/main" xmlns:pic="http://schemas.openxmlformats.org/drawingml/2006/picture">
            <wp:extent cx="5486400" cy="2992582"/>
            <wp:docPr id="5" name="Picture 5"/>
            <wp:cNvGraphicFramePr>
              <a:graphicFrameLocks noChangeAspect="1"/>
            </wp:cNvGraphicFramePr>
            <a:graphic>
              <a:graphicData uri="http://schemas.openxmlformats.org/drawingml/2006/picture">
                <pic:pic>
                  <pic:nvPicPr>
                    <pic:cNvPr id="0" name="w2_04_top_listed_genres.png"/>
                    <pic:cNvPicPr/>
                  </pic:nvPicPr>
                  <pic:blipFill>
                    <a:blip r:embed="rId14"/>
                    <a:stretch>
                      <a:fillRect/>
                    </a:stretch>
                  </pic:blipFill>
                  <pic:spPr>
                    <a:xfrm>
                      <a:off x="0" y="0"/>
                      <a:ext cx="5486400" cy="2992582"/>
                    </a:xfrm>
                    <a:prstGeom prst="rect"/>
                  </pic:spPr>
                </pic:pic>
              </a:graphicData>
            </a:graphic>
          </wp:inline>
        </w:drawing>
      </w:r>
    </w:p>
    <w:p>
      <w:pPr>
        <w:spacing w:before="40" w:after="200"/>
        <w:jc w:val="center"/>
      </w:pPr>
      <w:r>
        <w:rPr>
          <w:rFonts w:ascii="Calibri" w:hAnsi="Calibri"/>
          <w:b/>
          <w:color w:val="E50914"/>
          <w:sz w:val="19"/>
        </w:rPr>
        <w:t xml:space="preserve">Figure 5: </w:t>
      </w:r>
      <w:r>
        <w:rPr>
          <w:rFonts w:ascii="Calibri" w:hAnsi="Calibri"/>
          <w:b/>
          <w:color w:val="221F1F"/>
          <w:sz w:val="19"/>
        </w:rPr>
        <w:t xml:space="preserve">Top 15 Listed Genres across Catalog — </w:t>
      </w:r>
      <w:r>
        <w:rPr>
          <w:rFonts w:ascii="Calibri" w:hAnsi="Calibri"/>
          <w:i/>
          <w:color w:val="333333"/>
          <w:sz w:val="19"/>
        </w:rPr>
        <w:t>Horizontal bar chart of top unnested listed genres across Netflix.</w:t>
      </w:r>
    </w:p>
    <w:p>
      <w:pPr>
        <w:keepNext/>
        <w:spacing w:before="160" w:after="40"/>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w2_08_genre_content_type_heatmap.png"/>
                    <pic:cNvPicPr/>
                  </pic:nvPicPr>
                  <pic:blipFill>
                    <a:blip r:embed="rId15"/>
                    <a:stretch>
                      <a:fillRect/>
                    </a:stretch>
                  </pic:blipFill>
                  <pic:spPr>
                    <a:xfrm>
                      <a:off x="0" y="0"/>
                      <a:ext cx="5486400" cy="3291840"/>
                    </a:xfrm>
                    <a:prstGeom prst="rect"/>
                  </pic:spPr>
                </pic:pic>
              </a:graphicData>
            </a:graphic>
          </wp:inline>
        </w:drawing>
      </w:r>
    </w:p>
    <w:p>
      <w:pPr>
        <w:spacing w:before="40" w:after="200"/>
        <w:jc w:val="center"/>
      </w:pPr>
      <w:r>
        <w:rPr>
          <w:rFonts w:ascii="Calibri" w:hAnsi="Calibri"/>
          <w:b/>
          <w:color w:val="E50914"/>
          <w:sz w:val="19"/>
        </w:rPr>
        <w:t xml:space="preserve">Figure 6: </w:t>
      </w:r>
      <w:r>
        <w:rPr>
          <w:rFonts w:ascii="Calibri" w:hAnsi="Calibri"/>
          <w:b/>
          <w:color w:val="221F1F"/>
          <w:sz w:val="19"/>
        </w:rPr>
        <w:t xml:space="preserve">Genre Frequency across Content Types — </w:t>
      </w:r>
      <w:r>
        <w:rPr>
          <w:rFonts w:ascii="Calibri" w:hAnsi="Calibri"/>
          <w:i/>
          <w:color w:val="333333"/>
          <w:sz w:val="19"/>
        </w:rPr>
        <w:t>Cross-tabulation heatmap comparing top 12 genres between Movies and TV Shows.</w:t>
      </w:r>
    </w:p>
    <w:p>
      <w:pPr>
        <w:keepNext/>
        <w:spacing w:before="240" w:after="80"/>
      </w:pPr>
      <w:r>
        <w:rPr>
          <w:rFonts w:ascii="Calibri" w:hAnsi="Calibri"/>
          <w:b/>
          <w:color w:val="1A5276"/>
          <w:sz w:val="28"/>
        </w:rPr>
        <w:t>7.5 Maturity Rating Classification</w:t>
      </w:r>
    </w:p>
    <w:p>
      <w:pPr>
        <w:spacing w:before="0" w:after="120" w:line="276" w:lineRule="auto"/>
      </w:pPr>
      <w:r>
        <w:rPr>
          <w:rFonts w:ascii="Calibri" w:hAnsi="Calibri"/>
          <w:color w:val="333333"/>
          <w:sz w:val="22"/>
        </w:rPr>
        <w:t>Content maturity ratings reveal that Netflix focuses heavily on adult and mature audiences. The single largest rating category is `TV-MA` (2,870 titles, 36.86%), followed by `TV-14` (1,931 titles, 24.80%) and `R` (665 titles, 8.54%). Combined, mature adult content accounts for over 46% of all listings.</w:t>
      </w:r>
    </w:p>
    <w:p>
      <w:pPr>
        <w:keepNext/>
        <w:spacing w:before="160" w:after="40"/>
        <w:jc w:val="center"/>
      </w:pPr>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w2_05_content_ratings_by_type.png"/>
                    <pic:cNvPicPr/>
                  </pic:nvPicPr>
                  <pic:blipFill>
                    <a:blip r:embed="rId16"/>
                    <a:stretch>
                      <a:fillRect/>
                    </a:stretch>
                  </pic:blipFill>
                  <pic:spPr>
                    <a:xfrm>
                      <a:off x="0" y="0"/>
                      <a:ext cx="5486400" cy="2743200"/>
                    </a:xfrm>
                    <a:prstGeom prst="rect"/>
                  </pic:spPr>
                </pic:pic>
              </a:graphicData>
            </a:graphic>
          </wp:inline>
        </w:drawing>
      </w:r>
    </w:p>
    <w:p>
      <w:pPr>
        <w:spacing w:before="40" w:after="200"/>
        <w:jc w:val="center"/>
      </w:pPr>
      <w:r>
        <w:rPr>
          <w:rFonts w:ascii="Calibri" w:hAnsi="Calibri"/>
          <w:b/>
          <w:color w:val="E50914"/>
          <w:sz w:val="19"/>
        </w:rPr>
        <w:t xml:space="preserve">Figure 7: </w:t>
      </w:r>
      <w:r>
        <w:rPr>
          <w:rFonts w:ascii="Calibri" w:hAnsi="Calibri"/>
          <w:b/>
          <w:color w:val="221F1F"/>
          <w:sz w:val="19"/>
        </w:rPr>
        <w:t xml:space="preserve">Rating Distribution by Content Type — </w:t>
      </w:r>
      <w:r>
        <w:rPr>
          <w:rFonts w:ascii="Calibri" w:hAnsi="Calibri"/>
          <w:i/>
          <w:color w:val="333333"/>
          <w:sz w:val="19"/>
        </w:rPr>
        <w:t>Grouped bar chart comparing rating frequencies for Movies and TV Shows.</w:t>
      </w:r>
    </w:p>
    <w:p>
      <w:pPr>
        <w:keepNext/>
        <w:spacing w:before="240" w:after="80"/>
      </w:pPr>
      <w:r>
        <w:rPr>
          <w:rFonts w:ascii="Calibri" w:hAnsi="Calibri"/>
          <w:b/>
          <w:color w:val="1A5276"/>
          <w:sz w:val="28"/>
        </w:rPr>
        <w:t>7.6 Duration &amp; Seasonality Analysis</w:t>
      </w:r>
    </w:p>
    <w:p>
      <w:pPr>
        <w:spacing w:before="0" w:after="120" w:line="276" w:lineRule="auto"/>
      </w:pPr>
      <w:r>
        <w:rPr>
          <w:rFonts w:ascii="Calibri" w:hAnsi="Calibri"/>
          <w:color w:val="333333"/>
          <w:sz w:val="22"/>
        </w:rPr>
        <w:t>Movie runtimes and TV show season counts represent non-commensurable measurements and must be analyzed independently.</w:t>
      </w:r>
    </w:p>
    <w:p>
      <w:pPr>
        <w:keepNext/>
        <w:spacing w:before="160" w:after="40"/>
        <w:jc w:val="center"/>
      </w:pPr>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w2_06_movie_duration_histogram.png"/>
                    <pic:cNvPicPr/>
                  </pic:nvPicPr>
                  <pic:blipFill>
                    <a:blip r:embed="rId17"/>
                    <a:stretch>
                      <a:fillRect/>
                    </a:stretch>
                  </pic:blipFill>
                  <pic:spPr>
                    <a:xfrm>
                      <a:off x="0" y="0"/>
                      <a:ext cx="5486400" cy="2743200"/>
                    </a:xfrm>
                    <a:prstGeom prst="rect"/>
                  </pic:spPr>
                </pic:pic>
              </a:graphicData>
            </a:graphic>
          </wp:inline>
        </w:drawing>
      </w:r>
    </w:p>
    <w:p>
      <w:pPr>
        <w:spacing w:before="40" w:after="200"/>
        <w:jc w:val="center"/>
      </w:pPr>
      <w:r>
        <w:rPr>
          <w:rFonts w:ascii="Calibri" w:hAnsi="Calibri"/>
          <w:b/>
          <w:color w:val="E50914"/>
          <w:sz w:val="19"/>
        </w:rPr>
        <w:t xml:space="preserve">Figure 8: </w:t>
      </w:r>
      <w:r>
        <w:rPr>
          <w:rFonts w:ascii="Calibri" w:hAnsi="Calibri"/>
          <w:b/>
          <w:color w:val="221F1F"/>
          <w:sz w:val="19"/>
        </w:rPr>
        <w:t xml:space="preserve">Distribution of Movie Durations — </w:t>
      </w:r>
      <w:r>
        <w:rPr>
          <w:rFonts w:ascii="Calibri" w:hAnsi="Calibri"/>
          <w:i/>
          <w:color w:val="333333"/>
          <w:sz w:val="19"/>
        </w:rPr>
        <w:t>Histogram and KDE density curve of movie runtimes in minutes (Mean: 99.3 min, Median: 98 min).</w:t>
      </w:r>
    </w:p>
    <w:p>
      <w:pPr>
        <w:keepNext/>
        <w:spacing w:before="160" w:after="40"/>
        <w:jc w:val="center"/>
      </w:pPr>
      <w:r>
        <w:drawing>
          <wp:inline xmlns:a="http://schemas.openxmlformats.org/drawingml/2006/main" xmlns:pic="http://schemas.openxmlformats.org/drawingml/2006/picture">
            <wp:extent cx="5486400" cy="2743200"/>
            <wp:docPr id="9" name="Picture 9"/>
            <wp:cNvGraphicFramePr>
              <a:graphicFrameLocks noChangeAspect="1"/>
            </wp:cNvGraphicFramePr>
            <a:graphic>
              <a:graphicData uri="http://schemas.openxmlformats.org/drawingml/2006/picture">
                <pic:pic>
                  <pic:nvPicPr>
                    <pic:cNvPr id="0" name="w2_07_tv_show_seasons_distribution.png"/>
                    <pic:cNvPicPr/>
                  </pic:nvPicPr>
                  <pic:blipFill>
                    <a:blip r:embed="rId18"/>
                    <a:stretch>
                      <a:fillRect/>
                    </a:stretch>
                  </pic:blipFill>
                  <pic:spPr>
                    <a:xfrm>
                      <a:off x="0" y="0"/>
                      <a:ext cx="5486400" cy="2743200"/>
                    </a:xfrm>
                    <a:prstGeom prst="rect"/>
                  </pic:spPr>
                </pic:pic>
              </a:graphicData>
            </a:graphic>
          </wp:inline>
        </w:drawing>
      </w:r>
    </w:p>
    <w:p>
      <w:pPr>
        <w:spacing w:before="40" w:after="200"/>
        <w:jc w:val="center"/>
      </w:pPr>
      <w:r>
        <w:rPr>
          <w:rFonts w:ascii="Calibri" w:hAnsi="Calibri"/>
          <w:b/>
          <w:color w:val="E50914"/>
          <w:sz w:val="19"/>
        </w:rPr>
        <w:t xml:space="preserve">Figure 9: </w:t>
      </w:r>
      <w:r>
        <w:rPr>
          <w:rFonts w:ascii="Calibri" w:hAnsi="Calibri"/>
          <w:b/>
          <w:color w:val="221F1F"/>
          <w:sz w:val="19"/>
        </w:rPr>
        <w:t xml:space="preserve">TV Show Season Count Distribution — </w:t>
      </w:r>
      <w:r>
        <w:rPr>
          <w:rFonts w:ascii="Calibri" w:hAnsi="Calibri"/>
          <w:i/>
          <w:color w:val="333333"/>
          <w:sz w:val="19"/>
        </w:rPr>
        <w:t>Bar chart showing season counts for TV series, highlighting that 66.7% of shows have only 1 season.</w:t>
      </w:r>
    </w:p>
    <w:p>
      <w:pPr>
        <w:keepNext/>
        <w:spacing w:before="160" w:after="40"/>
        <w:jc w:val="center"/>
      </w:pPr>
      <w:r>
        <w:drawing>
          <wp:inline xmlns:a="http://schemas.openxmlformats.org/drawingml/2006/main" xmlns:pic="http://schemas.openxmlformats.org/drawingml/2006/picture">
            <wp:extent cx="5486400" cy="2743200"/>
            <wp:docPr id="10" name="Picture 10"/>
            <wp:cNvGraphicFramePr>
              <a:graphicFrameLocks noChangeAspect="1"/>
            </wp:cNvGraphicFramePr>
            <a:graphic>
              <a:graphicData uri="http://schemas.openxmlformats.org/drawingml/2006/picture">
                <pic:pic>
                  <pic:nvPicPr>
                    <pic:cNvPr id="0" name="w2_11_movie_duration_by_genre_boxplot.png"/>
                    <pic:cNvPicPr/>
                  </pic:nvPicPr>
                  <pic:blipFill>
                    <a:blip r:embed="rId19"/>
                    <a:stretch>
                      <a:fillRect/>
                    </a:stretch>
                  </pic:blipFill>
                  <pic:spPr>
                    <a:xfrm>
                      <a:off x="0" y="0"/>
                      <a:ext cx="5486400" cy="2743200"/>
                    </a:xfrm>
                    <a:prstGeom prst="rect"/>
                  </pic:spPr>
                </pic:pic>
              </a:graphicData>
            </a:graphic>
          </wp:inline>
        </w:drawing>
      </w:r>
    </w:p>
    <w:p>
      <w:pPr>
        <w:spacing w:before="40" w:after="200"/>
        <w:jc w:val="center"/>
      </w:pPr>
      <w:r>
        <w:rPr>
          <w:rFonts w:ascii="Calibri" w:hAnsi="Calibri"/>
          <w:b/>
          <w:color w:val="E50914"/>
          <w:sz w:val="19"/>
        </w:rPr>
        <w:t xml:space="preserve">Figure 10: </w:t>
      </w:r>
      <w:r>
        <w:rPr>
          <w:rFonts w:ascii="Calibri" w:hAnsi="Calibri"/>
          <w:b/>
          <w:color w:val="221F1F"/>
          <w:sz w:val="19"/>
        </w:rPr>
        <w:t xml:space="preserve">Movie Durations across Primary Genres — </w:t>
      </w:r>
      <w:r>
        <w:rPr>
          <w:rFonts w:ascii="Calibri" w:hAnsi="Calibri"/>
          <w:i/>
          <w:color w:val="333333"/>
          <w:sz w:val="19"/>
        </w:rPr>
        <w:t>Boxplot comparing runtime distributions for top 8 primary movie genres.</w:t>
      </w:r>
    </w:p>
    <w:p>
      <w:pPr>
        <w:keepNext/>
        <w:spacing w:before="240" w:after="80"/>
      </w:pPr>
      <w:r>
        <w:rPr>
          <w:rFonts w:ascii="Calibri" w:hAnsi="Calibri"/>
          <w:b/>
          <w:color w:val="1A5276"/>
          <w:sz w:val="28"/>
        </w:rPr>
        <w:t>7.7 Content Addition Seasonality &amp; Content Age Lag</w:t>
      </w:r>
    </w:p>
    <w:p>
      <w:pPr>
        <w:spacing w:before="0" w:after="120" w:line="276" w:lineRule="auto"/>
      </w:pPr>
      <w:r>
        <w:rPr>
          <w:rFonts w:ascii="Calibri" w:hAnsi="Calibri"/>
          <w:color w:val="333333"/>
          <w:sz w:val="22"/>
        </w:rPr>
        <w:t>Analyzing addition dates (`date_added_dt`) demonstrates that Netflix additions peak during the fourth and first quarters of the year (December, October, and January).</w:t>
      </w:r>
    </w:p>
    <w:p>
      <w:pPr>
        <w:keepNext/>
        <w:spacing w:before="160" w:after="40"/>
        <w:jc w:val="center"/>
      </w:pPr>
      <w:r>
        <w:drawing>
          <wp:inline xmlns:a="http://schemas.openxmlformats.org/drawingml/2006/main" xmlns:pic="http://schemas.openxmlformats.org/drawingml/2006/picture">
            <wp:extent cx="5486400" cy="2743200"/>
            <wp:docPr id="11" name="Picture 11"/>
            <wp:cNvGraphicFramePr>
              <a:graphicFrameLocks noChangeAspect="1"/>
            </wp:cNvGraphicFramePr>
            <a:graphic>
              <a:graphicData uri="http://schemas.openxmlformats.org/drawingml/2006/picture">
                <pic:pic>
                  <pic:nvPicPr>
                    <pic:cNvPr id="0" name="w2_09_monthly_content_additions.png"/>
                    <pic:cNvPicPr/>
                  </pic:nvPicPr>
                  <pic:blipFill>
                    <a:blip r:embed="rId20"/>
                    <a:stretch>
                      <a:fillRect/>
                    </a:stretch>
                  </pic:blipFill>
                  <pic:spPr>
                    <a:xfrm>
                      <a:off x="0" y="0"/>
                      <a:ext cx="5486400" cy="2743200"/>
                    </a:xfrm>
                    <a:prstGeom prst="rect"/>
                  </pic:spPr>
                </pic:pic>
              </a:graphicData>
            </a:graphic>
          </wp:inline>
        </w:drawing>
      </w:r>
    </w:p>
    <w:p>
      <w:pPr>
        <w:spacing w:before="40" w:after="200"/>
        <w:jc w:val="center"/>
      </w:pPr>
      <w:r>
        <w:rPr>
          <w:rFonts w:ascii="Calibri" w:hAnsi="Calibri"/>
          <w:b/>
          <w:color w:val="E50914"/>
          <w:sz w:val="19"/>
        </w:rPr>
        <w:t xml:space="preserve">Figure 11: </w:t>
      </w:r>
      <w:r>
        <w:rPr>
          <w:rFonts w:ascii="Calibri" w:hAnsi="Calibri"/>
          <w:b/>
          <w:color w:val="221F1F"/>
          <w:sz w:val="19"/>
        </w:rPr>
        <w:t xml:space="preserve">Content Addition Heatmap (2015 - 2021) — </w:t>
      </w:r>
      <w:r>
        <w:rPr>
          <w:rFonts w:ascii="Calibri" w:hAnsi="Calibri"/>
          <w:i/>
          <w:color w:val="333333"/>
          <w:sz w:val="19"/>
        </w:rPr>
        <w:t>Yearly and monthly heatmap of title additions onto Netflix.</w:t>
      </w:r>
    </w:p>
    <w:p>
      <w:pPr>
        <w:keepNext/>
        <w:spacing w:before="160" w:after="40"/>
        <w:jc w:val="center"/>
      </w:pPr>
      <w:r>
        <w:drawing>
          <wp:inline xmlns:a="http://schemas.openxmlformats.org/drawingml/2006/main" xmlns:pic="http://schemas.openxmlformats.org/drawingml/2006/picture">
            <wp:extent cx="5486400" cy="2743200"/>
            <wp:docPr id="12" name="Picture 12"/>
            <wp:cNvGraphicFramePr>
              <a:graphicFrameLocks noChangeAspect="1"/>
            </wp:cNvGraphicFramePr>
            <a:graphic>
              <a:graphicData uri="http://schemas.openxmlformats.org/drawingml/2006/picture">
                <pic:pic>
                  <pic:nvPicPr>
                    <pic:cNvPr id="0" name="w2_10_content_age_lag_distribution.png"/>
                    <pic:cNvPicPr/>
                  </pic:nvPicPr>
                  <pic:blipFill>
                    <a:blip r:embed="rId21"/>
                    <a:stretch>
                      <a:fillRect/>
                    </a:stretch>
                  </pic:blipFill>
                  <pic:spPr>
                    <a:xfrm>
                      <a:off x="0" y="0"/>
                      <a:ext cx="5486400" cy="2743200"/>
                    </a:xfrm>
                    <a:prstGeom prst="rect"/>
                  </pic:spPr>
                </pic:pic>
              </a:graphicData>
            </a:graphic>
          </wp:inline>
        </w:drawing>
      </w:r>
    </w:p>
    <w:p>
      <w:pPr>
        <w:spacing w:before="40" w:after="200"/>
        <w:jc w:val="center"/>
      </w:pPr>
      <w:r>
        <w:rPr>
          <w:rFonts w:ascii="Calibri" w:hAnsi="Calibri"/>
          <w:b/>
          <w:color w:val="E50914"/>
          <w:sz w:val="19"/>
        </w:rPr>
        <w:t xml:space="preserve">Figure 12: </w:t>
      </w:r>
      <w:r>
        <w:rPr>
          <w:rFonts w:ascii="Calibri" w:hAnsi="Calibri"/>
          <w:b/>
          <w:color w:val="221F1F"/>
          <w:sz w:val="19"/>
        </w:rPr>
        <w:t xml:space="preserve">Content Age Lag Distribution — </w:t>
      </w:r>
      <w:r>
        <w:rPr>
          <w:rFonts w:ascii="Calibri" w:hAnsi="Calibri"/>
          <w:i/>
          <w:color w:val="333333"/>
          <w:sz w:val="19"/>
        </w:rPr>
        <w:t>Histogram of years elapsed between a title's original release year and its Netflix addition date (Median lag: 3 years).</w:t>
      </w:r>
    </w:p>
    <w:p>
      <w:pPr>
        <w:keepNext/>
        <w:spacing w:before="320" w:after="120"/>
      </w:pPr>
      <w:r>
        <w:rPr>
          <w:rFonts w:ascii="Calibri" w:hAnsi="Calibri"/>
          <w:b/>
          <w:color w:val="E50914"/>
          <w:sz w:val="36"/>
        </w:rPr>
        <w:t>8. Inferential Statistical Testing</w:t>
      </w:r>
    </w:p>
    <w:p>
      <w:pPr>
        <w:spacing w:before="0" w:after="120" w:line="276" w:lineRule="auto"/>
      </w:pPr>
      <w:r>
        <w:rPr>
          <w:rFonts w:ascii="Calibri" w:hAnsi="Calibri"/>
          <w:color w:val="333333"/>
          <w:sz w:val="22"/>
        </w:rPr>
        <w:t>To go beyond descriptive visualization, formal statistical hypothesis tests were conducted to evaluate relationship significance:</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Borders>
              <w:left w:val="single" w:sz="36" w:space="0" w:color="E50914"/>
              <w:top w:val="none"/>
              <w:right w:val="none"/>
              <w:bottom w:val="none"/>
            </w:tcBorders>
          </w:tcPr>
          <w:p>
            <w:pPr>
              <w:spacing w:before="40" w:after="40"/>
            </w:pPr>
            <w:r>
              <w:rPr>
                <w:rFonts w:ascii="Calibri" w:hAnsi="Calibri"/>
                <w:b/>
                <w:color w:val="E50914"/>
                <w:sz w:val="22"/>
              </w:rPr>
              <w:t>Test 1: Chi-Square Test of Independence (Content Type vs. Target Audience)</w:t>
              <w:br/>
            </w:r>
            <w:r>
              <w:rPr>
                <w:rFonts w:ascii="Calibri" w:hAnsi="Calibri"/>
                <w:color w:val="333333"/>
                <w:sz w:val="21"/>
              </w:rPr>
              <w:t>• Null Hypothesis (H0): Target audience classification is independent of content type.</w:t>
              <w:br/>
              <w:t>• Alternative Hypothesis (H1): Target audience classification depends significantly on content type.</w:t>
              <w:br/>
              <w:t>• Results: Chi-Square Statistic = 99.7083, p-value = 1.7957e-21, Degrees of Freedom = 3.</w:t>
              <w:br/>
              <w:t>• Effect Size: Cramer's V = 0.1132.</w:t>
              <w:br/>
              <w:t>• Conclusion: Reject H0 with &gt;99.9% confidence. Movies have a significantly higher proportion of R/PG-13 rated content, whereas TV shows lean more towards TV-MA and TV-14 ratings.</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Borders>
              <w:left w:val="single" w:sz="36" w:space="0" w:color="E50914"/>
              <w:top w:val="none"/>
              <w:right w:val="none"/>
              <w:bottom w:val="none"/>
            </w:tcBorders>
          </w:tcPr>
          <w:p>
            <w:pPr>
              <w:spacing w:before="40" w:after="40"/>
            </w:pPr>
            <w:r>
              <w:rPr>
                <w:rFonts w:ascii="Calibri" w:hAnsi="Calibri"/>
                <w:b/>
                <w:color w:val="E50914"/>
                <w:sz w:val="22"/>
              </w:rPr>
              <w:t>Test 2: One-Way ANOVA &amp; Kruskal-Wallis Test (Movie Duration across Top 5 Genres)</w:t>
              <w:br/>
            </w:r>
            <w:r>
              <w:rPr>
                <w:rFonts w:ascii="Calibri" w:hAnsi="Calibri"/>
                <w:color w:val="333333"/>
                <w:sz w:val="21"/>
              </w:rPr>
              <w:t>• Null Hypothesis (H0): Mean movie runtime is equal across top primary movie genres.</w:t>
              <w:br/>
              <w:t>• Alternative Hypothesis (H1): At least one genre has a significantly different mean runtime.</w:t>
              <w:br/>
              <w:t>• Results (ANOVA): F-Statistic = 359.1099, p-value = 3.9173e-268.</w:t>
              <w:br/>
              <w:t>• Results (Kruskal-Wallis): H-Statistic = 1165.9718, p-value = 3.7918e-251.</w:t>
              <w:br/>
              <w:t>• Conclusion: Reject H0. Documentaries have significantly shorter runtimes (mean ~80 min), whereas Action &amp; Dramas average significantly longer runtimes (~105-115 min).</w:t>
            </w:r>
          </w:p>
        </w:tc>
      </w:tr>
    </w:tbl>
    <w:p>
      <w:pPr>
        <w:spacing w:after="80"/>
      </w:pPr>
    </w:p>
    <w:p>
      <w:pPr>
        <w:keepNext/>
        <w:spacing w:before="320" w:after="120"/>
      </w:pPr>
      <w:r>
        <w:rPr>
          <w:rFonts w:ascii="Calibri" w:hAnsi="Calibri"/>
          <w:b/>
          <w:color w:val="E50914"/>
          <w:sz w:val="36"/>
        </w:rPr>
        <w:t>9. Transformations and Aggregations Summary</w:t>
      </w:r>
    </w:p>
    <w:p>
      <w:pPr>
        <w:spacing w:before="0" w:after="120" w:line="276" w:lineRule="auto"/>
      </w:pPr>
      <w:r>
        <w:rPr>
          <w:rFonts w:ascii="Calibri" w:hAnsi="Calibri"/>
          <w:color w:val="333333"/>
          <w:sz w:val="22"/>
        </w:rPr>
        <w:t>All analytical transformations performed throughout Week 1 and Week 2 are documented below:</w:t>
      </w:r>
    </w:p>
    <w:tbl>
      <w:tblPr>
        <w:tblW w:type="auto" w:w="0"/>
        <w:jc w:val="center"/>
        <w:tblLook w:firstColumn="1" w:firstRow="1" w:lastColumn="0" w:lastRow="0" w:noHBand="0" w:noVBand="1" w:val="04A0"/>
      </w:tblPr>
      <w:tblGrid>
        <w:gridCol w:w="2340"/>
        <w:gridCol w:w="2340"/>
        <w:gridCol w:w="2340"/>
        <w:gridCol w:w="2340"/>
      </w:tblGrid>
      <w:tr>
        <w:tc>
          <w:tcPr>
            <w:tcW w:type="dxa" w:w="2160"/>
            <w:shd w:fill="1A5276"/>
            <w:tcMar>
              <w:top w:w="100" w:type="dxa"/>
              <w:bottom w:w="100" w:type="dxa"/>
              <w:left w:w="120" w:type="dxa"/>
              <w:right w:w="120" w:type="dxa"/>
            </w:tcMar>
          </w:tcPr>
          <w:p>
            <w:pPr>
              <w:jc w:val="center"/>
            </w:pPr>
            <w:r>
              <w:rPr>
                <w:rFonts w:ascii="Calibri" w:hAnsi="Calibri"/>
                <w:b/>
                <w:color w:val="FFFFFF"/>
                <w:sz w:val="20"/>
              </w:rPr>
              <w:t>Transformation</w:t>
            </w:r>
          </w:p>
        </w:tc>
        <w:tc>
          <w:tcPr>
            <w:tcW w:type="dxa" w:w="2160"/>
            <w:shd w:fill="1A5276"/>
            <w:tcMar>
              <w:top w:w="100" w:type="dxa"/>
              <w:bottom w:w="100" w:type="dxa"/>
              <w:left w:w="120" w:type="dxa"/>
              <w:right w:w="120" w:type="dxa"/>
            </w:tcMar>
          </w:tcPr>
          <w:p>
            <w:pPr>
              <w:jc w:val="center"/>
            </w:pPr>
            <w:r>
              <w:rPr>
                <w:rFonts w:ascii="Calibri" w:hAnsi="Calibri"/>
                <w:b/>
                <w:color w:val="FFFFFF"/>
                <w:sz w:val="20"/>
              </w:rPr>
              <w:t>Original Format</w:t>
            </w:r>
          </w:p>
        </w:tc>
        <w:tc>
          <w:tcPr>
            <w:tcW w:type="dxa" w:w="2592"/>
            <w:shd w:fill="1A5276"/>
            <w:tcMar>
              <w:top w:w="100" w:type="dxa"/>
              <w:bottom w:w="100" w:type="dxa"/>
              <w:left w:w="120" w:type="dxa"/>
              <w:right w:w="120" w:type="dxa"/>
            </w:tcMar>
          </w:tcPr>
          <w:p>
            <w:pPr>
              <w:jc w:val="center"/>
            </w:pPr>
            <w:r>
              <w:rPr>
                <w:rFonts w:ascii="Calibri" w:hAnsi="Calibri"/>
                <w:b/>
                <w:color w:val="FFFFFF"/>
                <w:sz w:val="20"/>
              </w:rPr>
              <w:t>Transformed Output</w:t>
            </w:r>
          </w:p>
        </w:tc>
        <w:tc>
          <w:tcPr>
            <w:tcW w:type="dxa" w:w="3168"/>
            <w:shd w:fill="1A5276"/>
            <w:tcMar>
              <w:top w:w="100" w:type="dxa"/>
              <w:bottom w:w="100" w:type="dxa"/>
              <w:left w:w="120" w:type="dxa"/>
              <w:right w:w="120" w:type="dxa"/>
            </w:tcMar>
          </w:tcPr>
          <w:p>
            <w:pPr>
              <w:jc w:val="center"/>
            </w:pPr>
            <w:r>
              <w:rPr>
                <w:rFonts w:ascii="Calibri" w:hAnsi="Calibri"/>
                <w:b/>
                <w:color w:val="FFFFFF"/>
                <w:sz w:val="20"/>
              </w:rPr>
              <w:t>Analytical Justification</w:t>
            </w:r>
          </w:p>
        </w:tc>
      </w:tr>
      <w:tr>
        <w:tc>
          <w:tcPr>
            <w:tcW w:type="dxa" w:w="2160"/>
            <w:shd w:fill="FFFFFF"/>
            <w:tcMar>
              <w:top w:w="80" w:type="dxa"/>
              <w:bottom w:w="80" w:type="dxa"/>
              <w:left w:w="120" w:type="dxa"/>
              <w:right w:w="120" w:type="dxa"/>
            </w:tcMar>
          </w:tcPr>
          <w:p>
            <w:pPr>
              <w:jc w:val="left"/>
            </w:pPr>
            <w:r>
              <w:rPr>
                <w:rFonts w:ascii="Calibri" w:hAnsi="Calibri"/>
                <w:color w:val="333333"/>
                <w:sz w:val="19"/>
              </w:rPr>
              <w:t>Datetime Extraction</w:t>
            </w:r>
          </w:p>
        </w:tc>
        <w:tc>
          <w:tcPr>
            <w:tcW w:type="dxa" w:w="2160"/>
            <w:shd w:fill="FFFFFF"/>
            <w:tcMar>
              <w:top w:w="80" w:type="dxa"/>
              <w:bottom w:w="80" w:type="dxa"/>
              <w:left w:w="120" w:type="dxa"/>
              <w:right w:w="120" w:type="dxa"/>
            </w:tcMar>
          </w:tcPr>
          <w:p>
            <w:pPr>
              <w:jc w:val="center"/>
            </w:pPr>
            <w:r>
              <w:rPr>
                <w:rFonts w:ascii="Calibri" w:hAnsi="Calibri"/>
                <w:color w:val="333333"/>
                <w:sz w:val="19"/>
              </w:rPr>
              <w:t>String ('August 4, 2017')</w:t>
            </w:r>
          </w:p>
        </w:tc>
        <w:tc>
          <w:tcPr>
            <w:tcW w:type="dxa" w:w="2592"/>
            <w:shd w:fill="FFFFFF"/>
            <w:tcMar>
              <w:top w:w="80" w:type="dxa"/>
              <w:bottom w:w="80" w:type="dxa"/>
              <w:left w:w="120" w:type="dxa"/>
              <w:right w:w="120" w:type="dxa"/>
            </w:tcMar>
          </w:tcPr>
          <w:p>
            <w:pPr>
              <w:jc w:val="center"/>
            </w:pPr>
            <w:r>
              <w:rPr>
                <w:rFonts w:ascii="Calibri" w:hAnsi="Calibri"/>
                <w:color w:val="333333"/>
                <w:sz w:val="19"/>
              </w:rPr>
              <w:t>Datetime object (`date_added_dt`), year, month</w:t>
            </w:r>
          </w:p>
        </w:tc>
        <w:tc>
          <w:tcPr>
            <w:tcW w:type="dxa" w:w="3168"/>
            <w:shd w:fill="FFFFFF"/>
            <w:tcMar>
              <w:top w:w="80" w:type="dxa"/>
              <w:bottom w:w="80" w:type="dxa"/>
              <w:left w:w="120" w:type="dxa"/>
              <w:right w:w="120" w:type="dxa"/>
            </w:tcMar>
          </w:tcPr>
          <w:p>
            <w:pPr>
              <w:jc w:val="center"/>
            </w:pPr>
            <w:r>
              <w:rPr>
                <w:rFonts w:ascii="Calibri" w:hAnsi="Calibri"/>
                <w:color w:val="333333"/>
                <w:sz w:val="19"/>
              </w:rPr>
              <w:t>Enables time-series aggregation and seasonality analysis</w:t>
            </w:r>
          </w:p>
        </w:tc>
      </w:tr>
      <w:tr>
        <w:tc>
          <w:tcPr>
            <w:tcW w:type="dxa" w:w="2160"/>
            <w:shd w:fill="F9FAFC"/>
            <w:tcMar>
              <w:top w:w="80" w:type="dxa"/>
              <w:bottom w:w="80" w:type="dxa"/>
              <w:left w:w="120" w:type="dxa"/>
              <w:right w:w="120" w:type="dxa"/>
            </w:tcMar>
          </w:tcPr>
          <w:p>
            <w:pPr>
              <w:jc w:val="left"/>
            </w:pPr>
            <w:r>
              <w:rPr>
                <w:rFonts w:ascii="Calibri" w:hAnsi="Calibri"/>
                <w:color w:val="333333"/>
                <w:sz w:val="19"/>
              </w:rPr>
              <w:t>Country Unnesting</w:t>
            </w:r>
          </w:p>
        </w:tc>
        <w:tc>
          <w:tcPr>
            <w:tcW w:type="dxa" w:w="2160"/>
            <w:shd w:fill="F9FAFC"/>
            <w:tcMar>
              <w:top w:w="80" w:type="dxa"/>
              <w:bottom w:w="80" w:type="dxa"/>
              <w:left w:w="120" w:type="dxa"/>
              <w:right w:w="120" w:type="dxa"/>
            </w:tcMar>
          </w:tcPr>
          <w:p>
            <w:pPr>
              <w:jc w:val="center"/>
            </w:pPr>
            <w:r>
              <w:rPr>
                <w:rFonts w:ascii="Calibri" w:hAnsi="Calibri"/>
                <w:color w:val="333333"/>
                <w:sz w:val="19"/>
              </w:rPr>
              <w:t>Comma-string ('US, UK')</w:t>
            </w:r>
          </w:p>
        </w:tc>
        <w:tc>
          <w:tcPr>
            <w:tcW w:type="dxa" w:w="2592"/>
            <w:shd w:fill="F9FAFC"/>
            <w:tcMar>
              <w:top w:w="80" w:type="dxa"/>
              <w:bottom w:w="80" w:type="dxa"/>
              <w:left w:w="120" w:type="dxa"/>
              <w:right w:w="120" w:type="dxa"/>
            </w:tcMar>
          </w:tcPr>
          <w:p>
            <w:pPr>
              <w:jc w:val="center"/>
            </w:pPr>
            <w:r>
              <w:rPr>
                <w:rFonts w:ascii="Calibri" w:hAnsi="Calibri"/>
                <w:color w:val="333333"/>
                <w:sz w:val="19"/>
              </w:rPr>
              <w:t>Exploded individual rows per country</w:t>
            </w:r>
          </w:p>
        </w:tc>
        <w:tc>
          <w:tcPr>
            <w:tcW w:type="dxa" w:w="3168"/>
            <w:shd w:fill="F9FAFC"/>
            <w:tcMar>
              <w:top w:w="80" w:type="dxa"/>
              <w:bottom w:w="80" w:type="dxa"/>
              <w:left w:w="120" w:type="dxa"/>
              <w:right w:w="120" w:type="dxa"/>
            </w:tcMar>
          </w:tcPr>
          <w:p>
            <w:pPr>
              <w:jc w:val="center"/>
            </w:pPr>
            <w:r>
              <w:rPr>
                <w:rFonts w:ascii="Calibri" w:hAnsi="Calibri"/>
                <w:color w:val="333333"/>
                <w:sz w:val="19"/>
              </w:rPr>
              <w:t>Eliminates co-production undercounting</w:t>
            </w:r>
          </w:p>
        </w:tc>
      </w:tr>
      <w:tr>
        <w:tc>
          <w:tcPr>
            <w:tcW w:type="dxa" w:w="2160"/>
            <w:shd w:fill="FFFFFF"/>
            <w:tcMar>
              <w:top w:w="80" w:type="dxa"/>
              <w:bottom w:w="80" w:type="dxa"/>
              <w:left w:w="120" w:type="dxa"/>
              <w:right w:w="120" w:type="dxa"/>
            </w:tcMar>
          </w:tcPr>
          <w:p>
            <w:pPr>
              <w:jc w:val="left"/>
            </w:pPr>
            <w:r>
              <w:rPr>
                <w:rFonts w:ascii="Calibri" w:hAnsi="Calibri"/>
                <w:color w:val="333333"/>
                <w:sz w:val="19"/>
              </w:rPr>
              <w:t>Genre Unnesting</w:t>
            </w:r>
          </w:p>
        </w:tc>
        <w:tc>
          <w:tcPr>
            <w:tcW w:type="dxa" w:w="2160"/>
            <w:shd w:fill="FFFFFF"/>
            <w:tcMar>
              <w:top w:w="80" w:type="dxa"/>
              <w:bottom w:w="80" w:type="dxa"/>
              <w:left w:w="120" w:type="dxa"/>
              <w:right w:w="120" w:type="dxa"/>
            </w:tcMar>
          </w:tcPr>
          <w:p>
            <w:pPr>
              <w:jc w:val="center"/>
            </w:pPr>
            <w:r>
              <w:rPr>
                <w:rFonts w:ascii="Calibri" w:hAnsi="Calibri"/>
                <w:color w:val="333333"/>
                <w:sz w:val="19"/>
              </w:rPr>
              <w:t>Comma-string ('Dramas, Comedies')</w:t>
            </w:r>
          </w:p>
        </w:tc>
        <w:tc>
          <w:tcPr>
            <w:tcW w:type="dxa" w:w="2592"/>
            <w:shd w:fill="FFFFFF"/>
            <w:tcMar>
              <w:top w:w="80" w:type="dxa"/>
              <w:bottom w:w="80" w:type="dxa"/>
              <w:left w:w="120" w:type="dxa"/>
              <w:right w:w="120" w:type="dxa"/>
            </w:tcMar>
          </w:tcPr>
          <w:p>
            <w:pPr>
              <w:jc w:val="center"/>
            </w:pPr>
            <w:r>
              <w:rPr>
                <w:rFonts w:ascii="Calibri" w:hAnsi="Calibri"/>
                <w:color w:val="333333"/>
                <w:sz w:val="19"/>
              </w:rPr>
              <w:t>Exploded individual rows per genre</w:t>
            </w:r>
          </w:p>
        </w:tc>
        <w:tc>
          <w:tcPr>
            <w:tcW w:type="dxa" w:w="3168"/>
            <w:shd w:fill="FFFFFF"/>
            <w:tcMar>
              <w:top w:w="80" w:type="dxa"/>
              <w:bottom w:w="80" w:type="dxa"/>
              <w:left w:w="120" w:type="dxa"/>
              <w:right w:w="120" w:type="dxa"/>
            </w:tcMar>
          </w:tcPr>
          <w:p>
            <w:pPr>
              <w:jc w:val="center"/>
            </w:pPr>
            <w:r>
              <w:rPr>
                <w:rFonts w:ascii="Calibri" w:hAnsi="Calibri"/>
                <w:color w:val="333333"/>
                <w:sz w:val="19"/>
              </w:rPr>
              <w:t>Allows accurate cross-genre frequency counting</w:t>
            </w:r>
          </w:p>
        </w:tc>
      </w:tr>
      <w:tr>
        <w:tc>
          <w:tcPr>
            <w:tcW w:type="dxa" w:w="2160"/>
            <w:shd w:fill="F9FAFC"/>
            <w:tcMar>
              <w:top w:w="80" w:type="dxa"/>
              <w:bottom w:w="80" w:type="dxa"/>
              <w:left w:w="120" w:type="dxa"/>
              <w:right w:w="120" w:type="dxa"/>
            </w:tcMar>
          </w:tcPr>
          <w:p>
            <w:pPr>
              <w:jc w:val="left"/>
            </w:pPr>
            <w:r>
              <w:rPr>
                <w:rFonts w:ascii="Calibri" w:hAnsi="Calibri"/>
                <w:color w:val="333333"/>
                <w:sz w:val="19"/>
              </w:rPr>
              <w:t>Duration Parsing</w:t>
            </w:r>
          </w:p>
        </w:tc>
        <w:tc>
          <w:tcPr>
            <w:tcW w:type="dxa" w:w="2160"/>
            <w:shd w:fill="F9FAFC"/>
            <w:tcMar>
              <w:top w:w="80" w:type="dxa"/>
              <w:bottom w:w="80" w:type="dxa"/>
              <w:left w:w="120" w:type="dxa"/>
              <w:right w:w="120" w:type="dxa"/>
            </w:tcMar>
          </w:tcPr>
          <w:p>
            <w:pPr>
              <w:jc w:val="center"/>
            </w:pPr>
            <w:r>
              <w:rPr>
                <w:rFonts w:ascii="Calibri" w:hAnsi="Calibri"/>
                <w:color w:val="333333"/>
                <w:sz w:val="19"/>
              </w:rPr>
              <w:t>String ('90 min', '2 Seasons')</w:t>
            </w:r>
          </w:p>
        </w:tc>
        <w:tc>
          <w:tcPr>
            <w:tcW w:type="dxa" w:w="2592"/>
            <w:shd w:fill="F9FAFC"/>
            <w:tcMar>
              <w:top w:w="80" w:type="dxa"/>
              <w:bottom w:w="80" w:type="dxa"/>
              <w:left w:w="120" w:type="dxa"/>
              <w:right w:w="120" w:type="dxa"/>
            </w:tcMar>
          </w:tcPr>
          <w:p>
            <w:pPr>
              <w:jc w:val="center"/>
            </w:pPr>
            <w:r>
              <w:rPr>
                <w:rFonts w:ascii="Calibri" w:hAnsi="Calibri"/>
                <w:color w:val="333333"/>
                <w:sz w:val="19"/>
              </w:rPr>
              <w:t>`duration_int` (float) &amp; `duration_unit`</w:t>
            </w:r>
          </w:p>
        </w:tc>
        <w:tc>
          <w:tcPr>
            <w:tcW w:type="dxa" w:w="3168"/>
            <w:shd w:fill="F9FAFC"/>
            <w:tcMar>
              <w:top w:w="80" w:type="dxa"/>
              <w:bottom w:w="80" w:type="dxa"/>
              <w:left w:w="120" w:type="dxa"/>
              <w:right w:w="120" w:type="dxa"/>
            </w:tcMar>
          </w:tcPr>
          <w:p>
            <w:pPr>
              <w:jc w:val="center"/>
            </w:pPr>
            <w:r>
              <w:rPr>
                <w:rFonts w:ascii="Calibri" w:hAnsi="Calibri"/>
                <w:color w:val="333333"/>
                <w:sz w:val="19"/>
              </w:rPr>
              <w:t>Enables numeric summary stats (mean, std, median)</w:t>
            </w:r>
          </w:p>
        </w:tc>
      </w:tr>
      <w:tr>
        <w:tc>
          <w:tcPr>
            <w:tcW w:type="dxa" w:w="2160"/>
            <w:shd w:fill="FFFFFF"/>
            <w:tcMar>
              <w:top w:w="80" w:type="dxa"/>
              <w:bottom w:w="80" w:type="dxa"/>
              <w:left w:w="120" w:type="dxa"/>
              <w:right w:w="120" w:type="dxa"/>
            </w:tcMar>
          </w:tcPr>
          <w:p>
            <w:pPr>
              <w:jc w:val="left"/>
            </w:pPr>
            <w:r>
              <w:rPr>
                <w:rFonts w:ascii="Calibri" w:hAnsi="Calibri"/>
                <w:color w:val="333333"/>
                <w:sz w:val="19"/>
              </w:rPr>
              <w:t>Audience Binning</w:t>
            </w:r>
          </w:p>
        </w:tc>
        <w:tc>
          <w:tcPr>
            <w:tcW w:type="dxa" w:w="2160"/>
            <w:shd w:fill="FFFFFF"/>
            <w:tcMar>
              <w:top w:w="80" w:type="dxa"/>
              <w:bottom w:w="80" w:type="dxa"/>
              <w:left w:w="120" w:type="dxa"/>
              <w:right w:w="120" w:type="dxa"/>
            </w:tcMar>
          </w:tcPr>
          <w:p>
            <w:pPr>
              <w:jc w:val="center"/>
            </w:pPr>
            <w:r>
              <w:rPr>
                <w:rFonts w:ascii="Calibri" w:hAnsi="Calibri"/>
                <w:color w:val="333333"/>
                <w:sz w:val="19"/>
              </w:rPr>
              <w:t>Rating codes ('TV-MA', 'PG')</w:t>
            </w:r>
          </w:p>
        </w:tc>
        <w:tc>
          <w:tcPr>
            <w:tcW w:type="dxa" w:w="2592"/>
            <w:shd w:fill="FFFFFF"/>
            <w:tcMar>
              <w:top w:w="80" w:type="dxa"/>
              <w:bottom w:w="80" w:type="dxa"/>
              <w:left w:w="120" w:type="dxa"/>
              <w:right w:w="120" w:type="dxa"/>
            </w:tcMar>
          </w:tcPr>
          <w:p>
            <w:pPr>
              <w:jc w:val="center"/>
            </w:pPr>
            <w:r>
              <w:rPr>
                <w:rFonts w:ascii="Calibri" w:hAnsi="Calibri"/>
                <w:color w:val="333333"/>
                <w:sz w:val="19"/>
              </w:rPr>
              <w:t>Target groups ('Adults', 'Teens', 'Kids')</w:t>
            </w:r>
          </w:p>
        </w:tc>
        <w:tc>
          <w:tcPr>
            <w:tcW w:type="dxa" w:w="3168"/>
            <w:shd w:fill="FFFFFF"/>
            <w:tcMar>
              <w:top w:w="80" w:type="dxa"/>
              <w:bottom w:w="80" w:type="dxa"/>
              <w:left w:w="120" w:type="dxa"/>
              <w:right w:w="120" w:type="dxa"/>
            </w:tcMar>
          </w:tcPr>
          <w:p>
            <w:pPr>
              <w:jc w:val="center"/>
            </w:pPr>
            <w:r>
              <w:rPr>
                <w:rFonts w:ascii="Calibri" w:hAnsi="Calibri"/>
                <w:color w:val="333333"/>
                <w:sz w:val="19"/>
              </w:rPr>
              <w:t>Simplifies demographic comparison across formats</w:t>
            </w:r>
          </w:p>
        </w:tc>
      </w:tr>
      <w:tr>
        <w:tc>
          <w:tcPr>
            <w:tcW w:type="dxa" w:w="2160"/>
            <w:shd w:fill="F9FAFC"/>
            <w:tcMar>
              <w:top w:w="80" w:type="dxa"/>
              <w:bottom w:w="80" w:type="dxa"/>
              <w:left w:w="120" w:type="dxa"/>
              <w:right w:w="120" w:type="dxa"/>
            </w:tcMar>
          </w:tcPr>
          <w:p>
            <w:pPr>
              <w:jc w:val="left"/>
            </w:pPr>
            <w:r>
              <w:rPr>
                <w:rFonts w:ascii="Calibri" w:hAnsi="Calibri"/>
                <w:color w:val="333333"/>
                <w:sz w:val="19"/>
              </w:rPr>
              <w:t>Content Lag Calculation</w:t>
            </w:r>
          </w:p>
        </w:tc>
        <w:tc>
          <w:tcPr>
            <w:tcW w:type="dxa" w:w="2160"/>
            <w:shd w:fill="F9FAFC"/>
            <w:tcMar>
              <w:top w:w="80" w:type="dxa"/>
              <w:bottom w:w="80" w:type="dxa"/>
              <w:left w:w="120" w:type="dxa"/>
              <w:right w:w="120" w:type="dxa"/>
            </w:tcMar>
          </w:tcPr>
          <w:p>
            <w:pPr>
              <w:jc w:val="center"/>
            </w:pPr>
            <w:r>
              <w:rPr>
                <w:rFonts w:ascii="Calibri" w:hAnsi="Calibri"/>
                <w:color w:val="333333"/>
                <w:sz w:val="19"/>
              </w:rPr>
              <w:t>Numeric year values</w:t>
            </w:r>
          </w:p>
        </w:tc>
        <w:tc>
          <w:tcPr>
            <w:tcW w:type="dxa" w:w="2592"/>
            <w:shd w:fill="F9FAFC"/>
            <w:tcMar>
              <w:top w:w="80" w:type="dxa"/>
              <w:bottom w:w="80" w:type="dxa"/>
              <w:left w:w="120" w:type="dxa"/>
              <w:right w:w="120" w:type="dxa"/>
            </w:tcMar>
          </w:tcPr>
          <w:p>
            <w:pPr>
              <w:jc w:val="center"/>
            </w:pPr>
            <w:r>
              <w:rPr>
                <w:rFonts w:ascii="Calibri" w:hAnsi="Calibri"/>
                <w:color w:val="333333"/>
                <w:sz w:val="19"/>
              </w:rPr>
              <w:t>`content_age` = `year_added` - `release_year`</w:t>
            </w:r>
          </w:p>
        </w:tc>
        <w:tc>
          <w:tcPr>
            <w:tcW w:type="dxa" w:w="3168"/>
            <w:shd w:fill="F9FAFC"/>
            <w:tcMar>
              <w:top w:w="80" w:type="dxa"/>
              <w:bottom w:w="80" w:type="dxa"/>
              <w:left w:w="120" w:type="dxa"/>
              <w:right w:w="120" w:type="dxa"/>
            </w:tcMar>
          </w:tcPr>
          <w:p>
            <w:pPr>
              <w:jc w:val="center"/>
            </w:pPr>
            <w:r>
              <w:rPr>
                <w:rFonts w:ascii="Calibri" w:hAnsi="Calibri"/>
                <w:color w:val="333333"/>
                <w:sz w:val="19"/>
              </w:rPr>
              <w:t>Measures platform licensing speed and content freshness</w:t>
            </w:r>
          </w:p>
        </w:tc>
      </w:tr>
    </w:tbl>
    <w:p>
      <w:pPr>
        <w:spacing w:after="120"/>
      </w:pPr>
    </w:p>
    <w:p>
      <w:pPr>
        <w:keepNext/>
        <w:spacing w:before="320" w:after="120"/>
      </w:pPr>
      <w:r>
        <w:rPr>
          <w:rFonts w:ascii="Calibri" w:hAnsi="Calibri"/>
          <w:b/>
          <w:color w:val="E50914"/>
          <w:sz w:val="36"/>
        </w:rPr>
        <w:t>10. Key Findings &amp; Strategic Insights</w:t>
      </w:r>
    </w:p>
    <w:p>
      <w:pPr>
        <w:pStyle w:val="ListBullet"/>
        <w:spacing w:before="0" w:after="60" w:line="276" w:lineRule="auto"/>
      </w:pPr>
      <w:r>
        <w:rPr>
          <w:rFonts w:ascii="Calibri" w:hAnsi="Calibri"/>
          <w:b/>
          <w:color w:val="333333"/>
          <w:sz w:val="22"/>
        </w:rPr>
        <w:t xml:space="preserve">1. Catalog Composition: </w:t>
      </w:r>
      <w:r>
        <w:rPr>
          <w:rFonts w:ascii="Calibri" w:hAnsi="Calibri"/>
          <w:color w:val="333333"/>
          <w:sz w:val="22"/>
        </w:rPr>
        <w:t>Movies comprise 69.05% of the total catalog, but TV series additions grew at a faster relative rate post-2016.</w:t>
      </w:r>
    </w:p>
    <w:p>
      <w:pPr>
        <w:pStyle w:val="ListBullet"/>
        <w:spacing w:before="0" w:after="60" w:line="276" w:lineRule="auto"/>
      </w:pPr>
      <w:r>
        <w:rPr>
          <w:rFonts w:ascii="Calibri" w:hAnsi="Calibri"/>
          <w:b/>
          <w:color w:val="333333"/>
          <w:sz w:val="22"/>
        </w:rPr>
        <w:t xml:space="preserve">2. Geographic Specialization: </w:t>
      </w:r>
      <w:r>
        <w:rPr>
          <w:rFonts w:ascii="Calibri" w:hAnsi="Calibri"/>
          <w:color w:val="333333"/>
          <w:sz w:val="22"/>
        </w:rPr>
        <w:t>The US (3,297 titles), India (990 titles), and UK (723 titles) are top producers. India specializes in Movies, while South Korea/Japan specialize in TV series.</w:t>
      </w:r>
    </w:p>
    <w:p>
      <w:pPr>
        <w:pStyle w:val="ListBullet"/>
        <w:spacing w:before="0" w:after="60" w:line="276" w:lineRule="auto"/>
      </w:pPr>
      <w:r>
        <w:rPr>
          <w:rFonts w:ascii="Calibri" w:hAnsi="Calibri"/>
          <w:b/>
          <w:color w:val="333333"/>
          <w:sz w:val="22"/>
        </w:rPr>
        <w:t xml:space="preserve">3. Genre Hierarchy: </w:t>
      </w:r>
      <w:r>
        <w:rPr>
          <w:rFonts w:ascii="Calibri" w:hAnsi="Calibri"/>
          <w:color w:val="333333"/>
          <w:sz w:val="22"/>
        </w:rPr>
        <w:t>International Movies (2,437), Dramas (2,106), and Comedies (1,471) lead catalog offerings.</w:t>
      </w:r>
    </w:p>
    <w:p>
      <w:pPr>
        <w:pStyle w:val="ListBullet"/>
        <w:spacing w:before="0" w:after="60" w:line="276" w:lineRule="auto"/>
      </w:pPr>
      <w:r>
        <w:rPr>
          <w:rFonts w:ascii="Calibri" w:hAnsi="Calibri"/>
          <w:b/>
          <w:color w:val="333333"/>
          <w:sz w:val="22"/>
        </w:rPr>
        <w:t xml:space="preserve">4. Mature Audience Orientation: </w:t>
      </w:r>
      <w:r>
        <w:rPr>
          <w:rFonts w:ascii="Calibri" w:hAnsi="Calibri"/>
          <w:color w:val="333333"/>
          <w:sz w:val="22"/>
        </w:rPr>
        <w:t>Mature content (`TV-MA` + `R`) accounts for &gt;46% of all content, aligning with subscriber demographic targeting.</w:t>
      </w:r>
    </w:p>
    <w:p>
      <w:pPr>
        <w:pStyle w:val="ListBullet"/>
        <w:spacing w:before="0" w:after="60" w:line="276" w:lineRule="auto"/>
      </w:pPr>
      <w:r>
        <w:rPr>
          <w:rFonts w:ascii="Calibri" w:hAnsi="Calibri"/>
          <w:b/>
          <w:color w:val="333333"/>
          <w:sz w:val="22"/>
        </w:rPr>
        <w:t xml:space="preserve">5. Duration Metrics: </w:t>
      </w:r>
      <w:r>
        <w:rPr>
          <w:rFonts w:ascii="Calibri" w:hAnsi="Calibri"/>
          <w:color w:val="333333"/>
          <w:sz w:val="22"/>
        </w:rPr>
        <w:t>Movie runtimes follow a tight normal distribution (median 98 min), while 66.7% of TV shows end after 1 season.</w:t>
      </w:r>
    </w:p>
    <w:p>
      <w:pPr>
        <w:pStyle w:val="ListBullet"/>
        <w:spacing w:before="0" w:after="60" w:line="276" w:lineRule="auto"/>
      </w:pPr>
      <w:r>
        <w:rPr>
          <w:rFonts w:ascii="Calibri" w:hAnsi="Calibri"/>
          <w:b/>
          <w:color w:val="333333"/>
          <w:sz w:val="22"/>
        </w:rPr>
        <w:t xml:space="preserve">6. Addition Seasonality: </w:t>
      </w:r>
      <w:r>
        <w:rPr>
          <w:rFonts w:ascii="Calibri" w:hAnsi="Calibri"/>
          <w:color w:val="333333"/>
          <w:sz w:val="22"/>
        </w:rPr>
        <w:t>Content additions peak in Q4 and Q1 (Dec/Jan), aligning with holiday viewing spikes.</w:t>
      </w:r>
    </w:p>
    <w:p>
      <w:pPr>
        <w:keepNext/>
        <w:spacing w:before="320" w:after="120"/>
      </w:pPr>
      <w:r>
        <w:rPr>
          <w:rFonts w:ascii="Calibri" w:hAnsi="Calibri"/>
          <w:b/>
          <w:color w:val="E50914"/>
          <w:sz w:val="36"/>
        </w:rPr>
        <w:t>11. Analytical Challenges &amp; Solutions</w:t>
      </w:r>
    </w:p>
    <w:p>
      <w:pPr>
        <w:pStyle w:val="ListBullet"/>
        <w:spacing w:before="0" w:after="60" w:line="276" w:lineRule="auto"/>
      </w:pPr>
      <w:r>
        <w:rPr>
          <w:rFonts w:ascii="Calibri" w:hAnsi="Calibri"/>
          <w:b/>
          <w:color w:val="333333"/>
          <w:sz w:val="22"/>
        </w:rPr>
        <w:t xml:space="preserve">Challenge 1: Multi-Valued Fields — </w:t>
      </w:r>
      <w:r>
        <w:rPr>
          <w:rFonts w:ascii="Calibri" w:hAnsi="Calibri"/>
          <w:color w:val="333333"/>
          <w:sz w:val="22"/>
        </w:rPr>
        <w:t>Simple string matching double-counts or truncates co-productions. Solved by custom unnesting and exploding comma-separated lists.</w:t>
      </w:r>
    </w:p>
    <w:p>
      <w:pPr>
        <w:pStyle w:val="ListBullet"/>
        <w:spacing w:before="0" w:after="60" w:line="276" w:lineRule="auto"/>
      </w:pPr>
      <w:r>
        <w:rPr>
          <w:rFonts w:ascii="Calibri" w:hAnsi="Calibri"/>
          <w:b/>
          <w:color w:val="333333"/>
          <w:sz w:val="22"/>
        </w:rPr>
        <w:t xml:space="preserve">Challenge 2: Non-Commensurable Durations — </w:t>
      </w:r>
      <w:r>
        <w:rPr>
          <w:rFonts w:ascii="Calibri" w:hAnsi="Calibri"/>
          <w:color w:val="333333"/>
          <w:sz w:val="22"/>
        </w:rPr>
        <w:t>Duration strings mixed 'min' and 'Seasons'. Solved by regex parsing into numeric integer columns and categorical unit descriptors.</w:t>
      </w:r>
    </w:p>
    <w:p>
      <w:pPr>
        <w:pStyle w:val="ListBullet"/>
        <w:spacing w:before="0" w:after="60" w:line="276" w:lineRule="auto"/>
      </w:pPr>
      <w:r>
        <w:rPr>
          <w:rFonts w:ascii="Calibri" w:hAnsi="Calibri"/>
          <w:b/>
          <w:color w:val="333333"/>
          <w:sz w:val="22"/>
        </w:rPr>
        <w:t xml:space="preserve">Challenge 3: Imputation Artifacts — </w:t>
      </w:r>
      <w:r>
        <w:rPr>
          <w:rFonts w:ascii="Calibri" w:hAnsi="Calibri"/>
          <w:color w:val="333333"/>
          <w:sz w:val="22"/>
        </w:rPr>
        <w:t>Missing dates and countries required careful imputation during Week 1 without distorting underlying distribution trends.</w:t>
      </w:r>
    </w:p>
    <w:p>
      <w:pPr>
        <w:keepNext/>
        <w:spacing w:before="320" w:after="120"/>
      </w:pPr>
      <w:r>
        <w:rPr>
          <w:rFonts w:ascii="Calibri" w:hAnsi="Calibri"/>
          <w:b/>
          <w:color w:val="E50914"/>
          <w:sz w:val="36"/>
        </w:rPr>
        <w:t>12. Limitations &amp; Future Scope</w:t>
      </w:r>
    </w:p>
    <w:p>
      <w:pPr>
        <w:pStyle w:val="ListBullet"/>
        <w:spacing w:before="0" w:after="60" w:line="276" w:lineRule="auto"/>
      </w:pPr>
      <w:r>
        <w:rPr>
          <w:rFonts w:ascii="Calibri" w:hAnsi="Calibri"/>
          <w:b/>
          <w:color w:val="333333"/>
          <w:sz w:val="22"/>
        </w:rPr>
        <w:t xml:space="preserve">1. Data Completeness: </w:t>
      </w:r>
      <w:r>
        <w:rPr>
          <w:rFonts w:ascii="Calibri" w:hAnsi="Calibri"/>
          <w:color w:val="333333"/>
          <w:sz w:val="22"/>
        </w:rPr>
        <w:t>The dataset cuts off in early 2021 and lacks viewership numbers, watch completion rates, or subscriber ratings.</w:t>
      </w:r>
    </w:p>
    <w:p>
      <w:pPr>
        <w:pStyle w:val="ListBullet"/>
        <w:spacing w:before="0" w:after="60" w:line="276" w:lineRule="auto"/>
      </w:pPr>
      <w:r>
        <w:rPr>
          <w:rFonts w:ascii="Calibri" w:hAnsi="Calibri"/>
          <w:b/>
          <w:color w:val="333333"/>
          <w:sz w:val="22"/>
        </w:rPr>
        <w:t xml:space="preserve">2. External Enrichment: </w:t>
      </w:r>
      <w:r>
        <w:rPr>
          <w:rFonts w:ascii="Calibri" w:hAnsi="Calibri"/>
          <w:color w:val="333333"/>
          <w:sz w:val="22"/>
        </w:rPr>
        <w:t>Future work could integrate external datasets (IMDb ratings, Box Office Mojo revenue, Rotten Tomatoes scores) for multi-variate predictive modeling.</w:t>
      </w:r>
    </w:p>
    <w:p>
      <w:pPr>
        <w:pStyle w:val="ListBullet"/>
        <w:spacing w:before="0" w:after="60" w:line="276" w:lineRule="auto"/>
      </w:pPr>
      <w:r>
        <w:rPr>
          <w:rFonts w:ascii="Calibri" w:hAnsi="Calibri"/>
          <w:b/>
          <w:color w:val="333333"/>
          <w:sz w:val="22"/>
        </w:rPr>
        <w:t xml:space="preserve">3. Advanced NLP Scope: </w:t>
      </w:r>
      <w:r>
        <w:rPr>
          <w:rFonts w:ascii="Calibri" w:hAnsi="Calibri"/>
          <w:color w:val="333333"/>
          <w:sz w:val="22"/>
        </w:rPr>
        <w:t>Natural Language Processing (NLP) on title descriptions and sentiment analysis.</w:t>
      </w:r>
    </w:p>
    <w:p>
      <w:pPr>
        <w:keepNext/>
        <w:spacing w:before="320" w:after="120"/>
      </w:pPr>
      <w:r>
        <w:rPr>
          <w:rFonts w:ascii="Calibri" w:hAnsi="Calibri"/>
          <w:b/>
          <w:color w:val="E50914"/>
          <w:sz w:val="36"/>
        </w:rPr>
        <w:t>13. Conclusion</w:t>
      </w:r>
    </w:p>
    <w:p>
      <w:pPr>
        <w:spacing w:before="0" w:after="120" w:line="276" w:lineRule="auto"/>
      </w:pPr>
      <w:r>
        <w:rPr>
          <w:rFonts w:ascii="Calibri" w:hAnsi="Calibri"/>
          <w:color w:val="333333"/>
          <w:sz w:val="22"/>
        </w:rPr>
        <w:t>This Week 2 Exploratory Data Analysis successfully delivers an exhaustive visual and quantitative exploration of the Netflix dataset. All 12 visualization figures, statistical hypothesis tests, and structured data summaries confirm significant structural patterns in Netflix's catalog strategy. The completed Jupyter Notebook (`week2_eda_visualization.ipynb`), Python scripts (`eda_analysis.py`), high-resolution PNG charts, and this DOCX report fulfill all requirements for Week 2 of the Yuva Internship.</w:t>
      </w:r>
    </w:p>
    <w:p>
      <w:pPr>
        <w:keepNext/>
        <w:spacing w:before="320" w:after="120"/>
      </w:pPr>
      <w:r>
        <w:rPr>
          <w:rFonts w:ascii="Calibri" w:hAnsi="Calibri"/>
          <w:b/>
          <w:color w:val="E50914"/>
          <w:sz w:val="36"/>
        </w:rPr>
        <w:t>14. References</w:t>
      </w:r>
    </w:p>
    <w:p>
      <w:pPr>
        <w:pStyle w:val="ListBullet"/>
        <w:spacing w:before="0" w:after="60" w:line="276" w:lineRule="auto"/>
      </w:pPr>
      <w:r>
        <w:rPr>
          <w:rFonts w:ascii="Calibri" w:hAnsi="Calibri"/>
          <w:b/>
          <w:color w:val="333333"/>
          <w:sz w:val="22"/>
        </w:rPr>
        <w:t xml:space="preserve">1. </w:t>
      </w:r>
      <w:r>
        <w:rPr>
          <w:rFonts w:ascii="Calibri" w:hAnsi="Calibri"/>
          <w:color w:val="333333"/>
          <w:sz w:val="22"/>
        </w:rPr>
        <w:t>Shivam Bansal. Netflix Movies and TV Shows Dataset. Sourced from Kaggle: https://www.kaggle.com/datasets/shivamb/netflix-shows</w:t>
      </w:r>
    </w:p>
    <w:p>
      <w:pPr>
        <w:pStyle w:val="ListBullet"/>
        <w:spacing w:before="0" w:after="60" w:line="276" w:lineRule="auto"/>
      </w:pPr>
      <w:r>
        <w:rPr>
          <w:rFonts w:ascii="Calibri" w:hAnsi="Calibri"/>
          <w:b/>
          <w:color w:val="333333"/>
          <w:sz w:val="22"/>
        </w:rPr>
        <w:t xml:space="preserve">2. </w:t>
      </w:r>
      <w:r>
        <w:rPr>
          <w:rFonts w:ascii="Calibri" w:hAnsi="Calibri"/>
          <w:color w:val="333333"/>
          <w:sz w:val="22"/>
        </w:rPr>
        <w:t>McKinney, W. (2010). Data Structures for Statistical Computing in Python. Proceedings of the 9th Python in Science Conference, 51-56.</w:t>
      </w:r>
    </w:p>
    <w:p>
      <w:pPr>
        <w:pStyle w:val="ListBullet"/>
        <w:spacing w:before="0" w:after="60" w:line="276" w:lineRule="auto"/>
      </w:pPr>
      <w:r>
        <w:rPr>
          <w:rFonts w:ascii="Calibri" w:hAnsi="Calibri"/>
          <w:b/>
          <w:color w:val="333333"/>
          <w:sz w:val="22"/>
        </w:rPr>
        <w:t xml:space="preserve">3. </w:t>
      </w:r>
      <w:r>
        <w:rPr>
          <w:rFonts w:ascii="Calibri" w:hAnsi="Calibri"/>
          <w:color w:val="333333"/>
          <w:sz w:val="22"/>
        </w:rPr>
        <w:t>Waskom, M. L. (2021). Seaborn: statistical data visualization. Journal of Open Source Software, 6(60), 3021.</w:t>
      </w:r>
    </w:p>
    <w:p>
      <w:pPr>
        <w:pStyle w:val="ListBullet"/>
        <w:spacing w:before="0" w:after="60" w:line="276" w:lineRule="auto"/>
      </w:pPr>
      <w:r>
        <w:rPr>
          <w:rFonts w:ascii="Calibri" w:hAnsi="Calibri"/>
          <w:b/>
          <w:color w:val="333333"/>
          <w:sz w:val="22"/>
        </w:rPr>
        <w:t xml:space="preserve">4. </w:t>
      </w:r>
      <w:r>
        <w:rPr>
          <w:rFonts w:ascii="Calibri" w:hAnsi="Calibri"/>
          <w:color w:val="333333"/>
          <w:sz w:val="22"/>
        </w:rPr>
        <w:t>Tukey, J. W. (1977). Exploratory Data Analysis. Addison-Wesley.</w:t>
      </w:r>
    </w:p>
    <w:p>
      <w:pPr>
        <w:keepNext/>
        <w:spacing w:before="320" w:after="120"/>
      </w:pPr>
      <w:r>
        <w:rPr>
          <w:rFonts w:ascii="Calibri" w:hAnsi="Calibri"/>
          <w:b/>
          <w:color w:val="E50914"/>
          <w:sz w:val="36"/>
        </w:rPr>
        <w:t>15. Appendix</w:t>
      </w:r>
    </w:p>
    <w:p>
      <w:pPr>
        <w:spacing w:before="0" w:after="120" w:line="276" w:lineRule="auto"/>
      </w:pPr>
      <w:r>
        <w:rPr>
          <w:rFonts w:ascii="Calibri" w:hAnsi="Calibri"/>
          <w:color w:val="333333"/>
          <w:sz w:val="22"/>
        </w:rPr>
        <w:t>Selected Python code snippet for Chi-Square test execution and multi-country unnesting:</w:t>
      </w:r>
    </w:p>
    <w:p>
      <w:pPr>
        <w:spacing w:before="80" w:after="120"/>
      </w:pPr>
      <w:r>
        <w:rPr>
          <w:rFonts w:ascii="Courier New" w:hAnsi="Courier New"/>
          <w:color w:val="1A5276"/>
          <w:sz w:val="19"/>
        </w:rPr>
        <w:t># Unnesting Multi-Country Entries</w:t>
        <w:br/>
        <w:t>country_series = df_proc[df_proc['country'] != 'Unknown Country']['country'].dropna()</w:t>
        <w:br/>
        <w:t>exploded_countries = country_series.apply(lambda x: [c.strip() for c in str(x).split(',')]).explode()</w:t>
        <w:br/>
        <w:t>top_15_countries = exploded_countries.value_counts().head(15)</w:t>
        <w:br/>
        <w:br/>
        <w:t># Chi-Square Test of Independence</w:t>
        <w:br/>
        <w:t>ct_aud = pd.crosstab(df_proc['type'], df_proc['target_audience'])</w:t>
        <w:br/>
        <w:t>chi2, p_val, dof, expected = stats.chi2_contingency(ct_aud)</w:t>
        <w:br/>
        <w:t>print(f'Chi2 = {chi2:.4f}, p-val = {p_val:.4e}')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333333"/>
        <w:sz w:val="18"/>
      </w:rPr>
      <w:t xml:space="preserve">Yuva Internship Week 2 | Vikhyath Bharadwaj K S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