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color w:val="000000"/>
          <w:sz w:val="60"/>
        </w:rPr>
        <w:t>VNEDGE Scanner Logic and Revival Report</w:t>
      </w:r>
    </w:p>
    <w:p>
      <w:pPr>
        <w:spacing w:after="400"/>
      </w:pPr>
      <w:r>
        <w:rPr>
          <w:rFonts w:ascii="Aptos Display" w:hAnsi="Aptos Display"/>
          <w:b w:val="0"/>
          <w:color w:val="000000"/>
          <w:sz w:val="32"/>
        </w:rPr>
        <w:t>Delta India Research Evidence Through 3 August 2026</w:t>
      </w:r>
    </w:p>
    <w:p>
      <w:r>
        <w:rPr>
          <w:rFonts w:ascii="Aptos" w:hAnsi="Aptos"/>
          <w:color w:val="000000"/>
        </w:rPr>
        <w:t>This report explains the complete decision structure of every runtime scanner in VNEDGE. It separates the market claim, decision timeframe, higher timeframe permission, entry clock, risk contract, and current evidence for each strategy identifier. The purpose is to decide which scanners deserve further shadow work and which should remain off.</w:t>
      </w:r>
    </w:p>
    <w:p>
      <w:r>
        <w:rPr>
          <w:rFonts w:ascii="Aptos" w:hAnsi="Aptos"/>
          <w:color w:val="000000"/>
        </w:rPr>
        <w:t>The main finding is clear. Several scanners already function as setup detectors, but setup production is not the same as an executable evidence path or profitable edge. Four high sample next open families were negative after booked execution costs. The quote accepted families cannot yet be economically scored because the artifact does not include lane consumed Delta India book data. The intended higher timeframe lane is also not evaluable because the canonical daily history is much shorter than its daily EMA200 warmup. Revival therefore means completing identity, quote, approval, and booking evidence rather than increasing fire counts.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8"/>
              </w:rPr>
              <w:t>Scope</w:t>
            </w:r>
          </w:p>
        </w:tc>
        <w:tc>
          <w:tcPr>
            <w:tcW w:type="dxa" w:w="727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8"/>
              </w:rPr>
              <w:t>Value</w:t>
            </w:r>
          </w:p>
        </w:tc>
      </w:tr>
      <w:tr>
        <w:trPr>
          <w:cantSplit/>
        </w:trPr>
        <w:tc>
          <w:tcPr>
            <w:tcW w:type="dxa" w:w="508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8"/>
              </w:rPr>
              <w:t>Venue</w:t>
            </w:r>
          </w:p>
        </w:tc>
        <w:tc>
          <w:tcPr>
            <w:tcW w:type="dxa" w:w="508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8"/>
              </w:rPr>
              <w:t>Delta India production public market data</w:t>
            </w:r>
          </w:p>
        </w:tc>
      </w:tr>
      <w:tr>
        <w:trPr>
          <w:cantSplit/>
        </w:trPr>
        <w:tc>
          <w:tcPr>
            <w:tcW w:type="dxa" w:w="508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8"/>
              </w:rPr>
              <w:t>Symbols</w:t>
            </w:r>
          </w:p>
        </w:tc>
        <w:tc>
          <w:tcPr>
            <w:tcW w:type="dxa" w:w="508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8"/>
              </w:rPr>
              <w:t>BTCUSD and ETHUSD</w:t>
            </w:r>
          </w:p>
        </w:tc>
      </w:tr>
      <w:tr>
        <w:trPr>
          <w:cantSplit/>
        </w:trPr>
        <w:tc>
          <w:tcPr>
            <w:tcW w:type="dxa" w:w="508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8"/>
              </w:rPr>
              <w:t>Canonical window</w:t>
            </w:r>
          </w:p>
        </w:tc>
        <w:tc>
          <w:tcPr>
            <w:tcW w:type="dxa" w:w="508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8"/>
              </w:rPr>
              <w:t>7 July 2026 through 2 August 2026 inclusive</w:t>
            </w:r>
          </w:p>
        </w:tc>
      </w:tr>
      <w:tr>
        <w:trPr>
          <w:cantSplit/>
        </w:trPr>
        <w:tc>
          <w:tcPr>
            <w:tcW w:type="dxa" w:w="508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8"/>
              </w:rPr>
              <w:t>Trade prints replayed</w:t>
            </w:r>
          </w:p>
        </w:tc>
        <w:tc>
          <w:tcPr>
            <w:tcW w:type="dxa" w:w="508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8"/>
              </w:rPr>
              <w:t>12,458,847</w:t>
            </w:r>
          </w:p>
        </w:tc>
      </w:tr>
      <w:tr>
        <w:trPr>
          <w:cantSplit/>
        </w:trPr>
        <w:tc>
          <w:tcPr>
            <w:tcW w:type="dxa" w:w="508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8"/>
              </w:rPr>
              <w:t>Runtime scanner contracts</w:t>
            </w:r>
          </w:p>
        </w:tc>
        <w:tc>
          <w:tcPr>
            <w:tcW w:type="dxa" w:w="508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8"/>
              </w:rPr>
              <w:t>23</w:t>
            </w:r>
          </w:p>
        </w:tc>
      </w:tr>
      <w:tr>
        <w:trPr>
          <w:cantSplit/>
        </w:trPr>
        <w:tc>
          <w:tcPr>
            <w:tcW w:type="dxa" w:w="508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8"/>
              </w:rPr>
              <w:t>Symbol and contract cells</w:t>
            </w:r>
          </w:p>
        </w:tc>
        <w:tc>
          <w:tcPr>
            <w:tcW w:type="dxa" w:w="508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8"/>
              </w:rPr>
              <w:t>46</w:t>
            </w:r>
          </w:p>
        </w:tc>
      </w:tr>
      <w:tr>
        <w:trPr>
          <w:cantSplit/>
        </w:trPr>
        <w:tc>
          <w:tcPr>
            <w:tcW w:type="dxa" w:w="508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8"/>
              </w:rPr>
              <w:t>Capital state</w:t>
            </w:r>
          </w:p>
        </w:tc>
        <w:tc>
          <w:tcPr>
            <w:tcW w:type="dxa" w:w="508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8"/>
              </w:rPr>
              <w:t>Locked and unchanged</w:t>
            </w:r>
          </w:p>
        </w:tc>
      </w:tr>
    </w:tbl>
    <w:p>
      <w:r>
        <w:rPr>
          <w:rFonts w:ascii="Aptos" w:hAnsi="Aptos"/>
          <w:color w:val="000000"/>
        </w:rPr>
        <w:t>Prepared for scanner review, shadow roster design, and backtest planning. This is research evidence. It does not authorize live capital.</w:t>
      </w:r>
    </w:p>
    <w:p>
      <w:r>
        <w:br w:type="page"/>
      </w:r>
    </w:p>
    <w:p>
      <w:pPr>
        <w:pStyle w:val="Heading1"/>
        <w:keepNext/>
      </w:pPr>
      <w:r>
        <w:t>Executive Summary</w:t>
      </w:r>
    </w:p>
    <w:p>
      <w:r>
        <w:rPr>
          <w:rFonts w:ascii="Aptos" w:hAnsi="Aptos"/>
          <w:color w:val="000000"/>
        </w:rPr>
        <w:t>VNEDGE currently exposes 23 scanner contracts. Ten use a quote hold after a closed bar, twelve use a next open fill contract, and one is a routed structure probe. Their results must remain separate because these entry clocks answer different questions and have different fill uncertainty.</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7"/>
              </w:rPr>
              <w:t>Evidence class</w:t>
            </w:r>
          </w:p>
        </w:tc>
        <w:tc>
          <w:tcPr>
            <w:tcW w:type="dxa" w:w="100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7"/>
              </w:rPr>
              <w:t>Cells</w:t>
            </w:r>
          </w:p>
        </w:tc>
        <w:tc>
          <w:tcPr>
            <w:tcW w:type="dxa" w:w="676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7"/>
              </w:rPr>
              <w:t>What the result proves</w:t>
            </w:r>
          </w:p>
        </w:tc>
      </w:tr>
      <w:tr>
        <w:trPr>
          <w:cantSplit/>
        </w:trPr>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Next open scored</w:t>
            </w:r>
          </w:p>
        </w:tc>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7"/>
              </w:rPr>
              <w:t>20</w:t>
            </w:r>
          </w:p>
        </w:tc>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Closed bar setup and deterministic next open outcome after booked costs</w:t>
            </w:r>
          </w:p>
        </w:tc>
      </w:tr>
      <w:tr>
        <w:trPr>
          <w:cantSplit/>
        </w:trPr>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Quote setup only</w:t>
            </w:r>
          </w:p>
        </w:tc>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7"/>
              </w:rPr>
              <w:t>20</w:t>
            </w:r>
          </w:p>
        </w:tc>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The closed bar logic armed; quote acceptance and approval remain unproved</w:t>
            </w:r>
          </w:p>
        </w:tc>
      </w:tr>
      <w:tr>
        <w:trPr>
          <w:cantSplit/>
        </w:trPr>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Route setup only</w:t>
            </w:r>
          </w:p>
        </w:tc>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7"/>
              </w:rPr>
              <w:t>2</w:t>
            </w:r>
          </w:p>
        </w:tc>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Structure plans appeared; maker and taker policy was not replayed</w:t>
            </w:r>
          </w:p>
        </w:tc>
      </w:tr>
      <w:tr>
        <w:trPr>
          <w:cantSplit/>
        </w:trPr>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Higher timeframe unavailable</w:t>
            </w:r>
          </w:p>
        </w:tc>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7"/>
              </w:rPr>
              <w:t>4</w:t>
            </w:r>
          </w:p>
        </w:tc>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The required canonical daily context was not long enough</w:t>
            </w:r>
          </w:p>
        </w:tc>
      </w:tr>
    </w:tbl>
    <w:p>
      <w:r>
        <w:rPr>
          <w:rFonts w:ascii="Aptos" w:hAnsi="Aptos"/>
          <w:color w:val="000000"/>
        </w:rPr>
        <w:t>The booked swing execution cost is 15.8 basis points. The pretrade wall is 18.8 basis points. The reserve belongs in the entry gate and is not booked as P and L. Funding was not included in this artifact, so no row is promotion grade.</w:t>
      </w:r>
    </w:p>
    <w:p>
      <w:r>
        <w:br w:type="page"/>
      </w:r>
    </w:p>
    <w:p>
      <w:pPr>
        <w:pStyle w:val="Heading1"/>
        <w:keepNext/>
      </w:pPr>
      <w:r>
        <w:t>What Functional Means</w:t>
      </w:r>
    </w:p>
    <w:p>
      <w:r>
        <w:rPr>
          <w:rFonts w:ascii="Aptos" w:hAnsi="Aptos"/>
          <w:color w:val="000000"/>
        </w:rPr>
        <w:t>A scanner is functional when it evaluates the correct closed bar and bound context on time, creates one decision identity, follows its declared next open or quote hold clock, passes through the same approval kernel used by shadow, and books only the resulting managed outcome. A higher fire count is not a correctness target.</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Observed symptom</w:t>
            </w:r>
          </w:p>
        </w:tc>
        <w:tc>
          <w:tcPr>
            <w:tcW w:type="dxa" w:w="410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Actual interpretation</w:t>
            </w:r>
          </w:p>
        </w:tc>
        <w:tc>
          <w:tcPr>
            <w:tcW w:type="dxa" w:w="367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Required action</w:t>
            </w:r>
          </w:p>
        </w:tc>
      </w:tr>
      <w:tr>
        <w:trPr>
          <w:cantSplit/>
        </w:trPr>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HTF regime Version 1 and Version 2 are quiet</w:t>
            </w:r>
          </w:p>
        </w:tc>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Only five to six canonical daily bars are present; daily EMA200 cannot classify</w:t>
            </w:r>
          </w:p>
        </w:tc>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Extend the bound daily lake to at least 200 closed days; keep EMA200 unchanged</w:t>
            </w:r>
          </w:p>
        </w:tc>
      </w:tr>
      <w:tr>
        <w:trPr>
          <w:cantSplit/>
        </w:trPr>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Quote families have arms but no scored trades</w:t>
            </w:r>
          </w:p>
        </w:tc>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Closed bar logic works; lane consumed Delta BBO and kernel approval are absent from the artifact</w:t>
            </w:r>
          </w:p>
        </w:tc>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Capture the exact lane tape and replay FireGuard CostGate sizing and risk</w:t>
            </w:r>
          </w:p>
        </w:tc>
      </w:tr>
      <w:tr>
        <w:trPr>
          <w:cantSplit/>
        </w:trPr>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BoS next open has two BTC trades and loses</w:t>
            </w:r>
          </w:p>
        </w:tc>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The family is selective and a stale one hour backward join may still attach the wrong parent</w:t>
            </w:r>
          </w:p>
        </w:tc>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Require exact parent identity or emit structure_parent_missing before another window</w:t>
            </w:r>
          </w:p>
        </w:tc>
      </w:tr>
      <w:tr>
        <w:trPr>
          <w:cantSplit/>
        </w:trPr>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AVWAP session sweep and MACD divergence trade</w:t>
            </w:r>
          </w:p>
        </w:tc>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They are functional and negative after booked costs</w:t>
            </w:r>
          </w:p>
        </w:tc>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Keep the current versions off; a changed claim requires a new identifier</w:t>
            </w:r>
          </w:p>
        </w:tc>
      </w:tr>
      <w:tr>
        <w:trPr>
          <w:cantSplit/>
        </w:trPr>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Squeeze and range produce many arms</w:t>
            </w:r>
          </w:p>
        </w:tc>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Setup generation works; conversion and economics remain unproved</w:t>
            </w:r>
          </w:p>
        </w:tc>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Use as quote evidence work, never score arms as P and L</w:t>
            </w:r>
          </w:p>
        </w:tc>
      </w:tr>
      <w:tr>
        <w:trPr>
          <w:cantSplit/>
        </w:trPr>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Bounce probe produces plans</w:t>
            </w:r>
          </w:p>
        </w:tc>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Route choice and order book behavior were not replayed</w:t>
            </w:r>
          </w:p>
        </w:tc>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Replay maker and taker routing on Delta book evidence</w:t>
            </w:r>
          </w:p>
        </w:tc>
      </w:tr>
    </w:tbl>
    <w:p>
      <w:pPr>
        <w:pStyle w:val="Heading2"/>
        <w:keepNext/>
      </w:pPr>
      <w:r>
        <w:t>Changes That Would Not Fix the System</w:t>
      </w:r>
    </w:p>
    <w:p>
      <w:pPr>
        <w:pStyle w:val="ListBullet"/>
        <w:spacing w:after="60"/>
      </w:pPr>
      <w:r>
        <w:rPr>
          <w:rFonts w:ascii="Aptos" w:hAnsi="Aptos"/>
          <w:color w:val="000000"/>
          <w:sz w:val="20"/>
        </w:rPr>
        <w:t>Cutting CostGate or minimum projected net requirements.</w:t>
      </w:r>
    </w:p>
    <w:p>
      <w:pPr>
        <w:pStyle w:val="ListBullet"/>
        <w:spacing w:after="60"/>
      </w:pPr>
      <w:r>
        <w:rPr>
          <w:rFonts w:ascii="Aptos" w:hAnsi="Aptos"/>
          <w:color w:val="000000"/>
          <w:sz w:val="20"/>
        </w:rPr>
        <w:t>Adding RSI or MACD confirmation to higher timeframe Version 2.</w:t>
      </w:r>
    </w:p>
    <w:p>
      <w:pPr>
        <w:pStyle w:val="ListBullet"/>
        <w:spacing w:after="60"/>
      </w:pPr>
      <w:r>
        <w:rPr>
          <w:rFonts w:ascii="Aptos" w:hAnsi="Aptos"/>
          <w:color w:val="000000"/>
          <w:sz w:val="20"/>
        </w:rPr>
        <w:t>Editing the failed AVWAP Version 1 contract in place.</w:t>
      </w:r>
    </w:p>
    <w:p>
      <w:pPr>
        <w:pStyle w:val="ListBullet"/>
        <w:spacing w:after="60"/>
      </w:pPr>
      <w:r>
        <w:rPr>
          <w:rFonts w:ascii="Aptos" w:hAnsi="Aptos"/>
          <w:color w:val="000000"/>
          <w:sz w:val="20"/>
        </w:rPr>
        <w:t>Scoring quote arms as fills or judging the telescope on 27 daily bars.</w:t>
      </w:r>
    </w:p>
    <w:p>
      <w:pPr>
        <w:pStyle w:val="ListBullet"/>
        <w:spacing w:after="60"/>
      </w:pPr>
      <w:r>
        <w:rPr>
          <w:rFonts w:ascii="Aptos" w:hAnsi="Aptos"/>
          <w:color w:val="000000"/>
          <w:sz w:val="20"/>
        </w:rPr>
        <w:t>Putting the full catalog on the shadow roster.</w:t>
      </w:r>
    </w:p>
    <w:p>
      <w:pPr>
        <w:pStyle w:val="Heading2"/>
        <w:keepNext/>
      </w:pPr>
      <w:r>
        <w:t>Revival Priorities</w:t>
      </w:r>
    </w:p>
    <w:p>
      <w:pPr>
        <w:pStyle w:val="ListBullet"/>
        <w:spacing w:after="60"/>
      </w:pPr>
      <w:r>
        <w:rPr>
          <w:rFonts w:ascii="Aptos" w:hAnsi="Aptos"/>
          <w:color w:val="000000"/>
          <w:sz w:val="20"/>
        </w:rPr>
        <w:t>Capture lane consumed Delta India BBO for htf_structure_continuation_realtime_v1 and run it through the same kernel approval path used by shadow.</w:t>
      </w:r>
    </w:p>
    <w:p>
      <w:pPr>
        <w:pStyle w:val="ListBullet"/>
        <w:spacing w:after="60"/>
      </w:pPr>
      <w:r>
        <w:rPr>
          <w:rFonts w:ascii="Aptos" w:hAnsi="Aptos"/>
          <w:color w:val="000000"/>
          <w:sz w:val="20"/>
        </w:rPr>
        <w:t>Capture the same BBO evidence for range_expansion_realtime_v2 and preserve its fee and geometry checks.</w:t>
      </w:r>
    </w:p>
    <w:p>
      <w:pPr>
        <w:pStyle w:val="ListBullet"/>
        <w:spacing w:after="60"/>
      </w:pPr>
      <w:r>
        <w:rPr>
          <w:rFonts w:ascii="Aptos" w:hAnsi="Aptos"/>
          <w:color w:val="000000"/>
          <w:sz w:val="20"/>
        </w:rPr>
        <w:t>Extend the canonical trade replay to at least 90 days for trend_squeeze_continuation_1h_v1 because its current positive BTC result contains one trade.</w:t>
      </w:r>
    </w:p>
    <w:p>
      <w:pPr>
        <w:pStyle w:val="ListBullet"/>
        <w:spacing w:after="60"/>
      </w:pPr>
      <w:r>
        <w:rPr>
          <w:rFonts w:ascii="Aptos" w:hAnsi="Aptos"/>
          <w:color w:val="000000"/>
          <w:sz w:val="20"/>
        </w:rPr>
        <w:t>Extend range_expansion_observer_v4 to at least 90 days because its current ETH result also contains one trade.</w:t>
      </w:r>
    </w:p>
    <w:p>
      <w:pPr>
        <w:pStyle w:val="Heading2"/>
        <w:keepNext/>
      </w:pPr>
      <w:r>
        <w:t>Scanners That Stay Off</w:t>
      </w:r>
    </w:p>
    <w:p>
      <w:r>
        <w:rPr>
          <w:rFonts w:ascii="Aptos" w:hAnsi="Aptos"/>
          <w:color w:val="000000"/>
        </w:rPr>
        <w:t>The current versions of avwap_reclaim_15m_v1, session_continuation_15m_v1, liquidity_sweep_reversal_15m_v1, and macd_hidden_div_15m_v1 should remain off. Each produced enough trades to expose a negative after cost profile. AVWAP reclaim also has known data quality gaps that require a new strategy version rather than an in place edit.</w:t>
      </w:r>
    </w:p>
    <w:p>
      <w:r>
        <w:br w:type="page"/>
      </w:r>
    </w:p>
    <w:p>
      <w:pPr>
        <w:pStyle w:val="Heading1"/>
        <w:keepNext/>
      </w:pPr>
      <w:r>
        <w:t>Decision Architecture</w:t>
      </w:r>
    </w:p>
    <w:p>
      <w:r>
        <w:rPr>
          <w:rFonts w:ascii="Aptos" w:hAnsi="Aptos"/>
          <w:color w:val="000000"/>
        </w:rPr>
        <w:t>Every valid scanner decision starts with one immutable market fact and must keep that identity through execution. The scanner may read indicators and context, but it cannot replace the decision bar or silently switch entry clocks after the setup appears.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7"/>
              </w:rPr>
              <w:t>Stage</w:t>
            </w:r>
          </w:p>
        </w:tc>
        <w:tc>
          <w:tcPr>
            <w:tcW w:type="dxa" w:w="468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7"/>
              </w:rPr>
              <w:t>Authoritative input</w:t>
            </w:r>
          </w:p>
        </w:tc>
        <w:tc>
          <w:tcPr>
            <w:tcW w:type="dxa" w:w="338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7"/>
              </w:rPr>
              <w:t>Output</w:t>
            </w:r>
          </w:p>
        </w:tc>
      </w:tr>
      <w:tr>
        <w:trPr>
          <w:cantSplit/>
        </w:trPr>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Canonical market data</w:t>
            </w:r>
          </w:p>
        </w:tc>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Delta trade prints rolled into closed candles</w:t>
            </w:r>
          </w:p>
        </w:tc>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Immutable decision bar</w:t>
            </w:r>
          </w:p>
        </w:tc>
      </w:tr>
      <w:tr>
        <w:trPr>
          <w:cantSplit/>
        </w:trPr>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Permission</w:t>
            </w:r>
          </w:p>
        </w:tc>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Last eligible closed 4h and 1d rows when required</w:t>
            </w:r>
          </w:p>
        </w:tc>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Frozen permission snapshot</w:t>
            </w:r>
          </w:p>
        </w:tc>
      </w:tr>
      <w:tr>
        <w:trPr>
          <w:cantSplit/>
        </w:trPr>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Setup</w:t>
            </w:r>
          </w:p>
        </w:tc>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Strategy features on the closed decision bar</w:t>
            </w:r>
          </w:p>
        </w:tc>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Side and entry geometry</w:t>
            </w:r>
          </w:p>
        </w:tc>
      </w:tr>
      <w:tr>
        <w:trPr>
          <w:cantSplit/>
        </w:trPr>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Identity</w:t>
            </w:r>
          </w:p>
        </w:tc>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Bar content hash plus strategy version side snapshot and clock</w:t>
            </w:r>
          </w:p>
        </w:tc>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Decision identifier</w:t>
            </w:r>
          </w:p>
        </w:tc>
      </w:tr>
      <w:tr>
        <w:trPr>
          <w:cantSplit/>
        </w:trPr>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Entry</w:t>
            </w:r>
          </w:p>
        </w:tc>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Next open or lane consumed BBO</w:t>
            </w:r>
          </w:p>
        </w:tc>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Candidate with clock specific evidence</w:t>
            </w:r>
          </w:p>
        </w:tc>
      </w:tr>
      <w:tr>
        <w:trPr>
          <w:cantSplit/>
        </w:trPr>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Approval</w:t>
            </w:r>
          </w:p>
        </w:tc>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Cost size and risk checks</w:t>
            </w:r>
          </w:p>
        </w:tc>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Approved or rejected decision</w:t>
            </w:r>
          </w:p>
        </w:tc>
      </w:tr>
      <w:tr>
        <w:trPr>
          <w:cantSplit/>
        </w:trPr>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Execution</w:t>
            </w:r>
          </w:p>
        </w:tc>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Execution kernel</w:t>
            </w:r>
          </w:p>
        </w:tc>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Managed shadow or live order</w:t>
            </w:r>
          </w:p>
        </w:tc>
      </w:tr>
      <w:tr>
        <w:trPr>
          <w:cantSplit/>
        </w:trPr>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Protection</w:t>
            </w:r>
          </w:p>
        </w:tc>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Ticks or closed bars according to contract</w:t>
            </w:r>
          </w:p>
        </w:tc>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Exit and resolved outcome</w:t>
            </w:r>
          </w:p>
        </w:tc>
      </w:tr>
    </w:tbl>
    <w:p>
      <w:pPr>
        <w:pStyle w:val="Heading2"/>
        <w:keepNext/>
      </w:pPr>
      <w:r>
        <w:t>Clock Separation</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16"/>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7"/>
              </w:rPr>
              <w:t>Clock</w:t>
            </w:r>
          </w:p>
        </w:tc>
        <w:tc>
          <w:tcPr>
            <w:tcW w:type="dxa" w:w="468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7"/>
              </w:rPr>
              <w:t>Permitted use</w:t>
            </w:r>
          </w:p>
        </w:tc>
        <w:tc>
          <w:tcPr>
            <w:tcW w:type="dxa" w:w="3456"/>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7"/>
              </w:rPr>
              <w:t>Prohibited use</w:t>
            </w:r>
          </w:p>
        </w:tc>
      </w:tr>
      <w:tr>
        <w:trPr>
          <w:cantSplit/>
        </w:trPr>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Trade and BBO ticks</w:t>
            </w:r>
          </w:p>
        </w:tc>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Build candles accept levels protect tick exits</w:t>
            </w:r>
          </w:p>
        </w:tc>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Create a higher timeframe setup</w:t>
            </w:r>
          </w:p>
        </w:tc>
      </w:tr>
      <w:tr>
        <w:trPr>
          <w:cantSplit/>
        </w:trPr>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One minute</w:t>
            </w:r>
          </w:p>
        </w:tc>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Canonical brick spike filter and display preview</w:t>
            </w:r>
          </w:p>
        </w:tc>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Strategy decision clock</w:t>
            </w:r>
          </w:p>
        </w:tc>
      </w:tr>
      <w:tr>
        <w:trPr>
          <w:cantSplit/>
        </w:trPr>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Five minute</w:t>
            </w:r>
          </w:p>
        </w:tc>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Scalp structure and squeeze boxes</w:t>
            </w:r>
          </w:p>
        </w:tc>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Higher timeframe permission</w:t>
            </w:r>
          </w:p>
        </w:tc>
      </w:tr>
      <w:tr>
        <w:trPr>
          <w:cantSplit/>
        </w:trPr>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Fifteen minute</w:t>
            </w:r>
          </w:p>
        </w:tc>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Range break reclaim BoS and session structure</w:t>
            </w:r>
          </w:p>
        </w:tc>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Forming bar entry</w:t>
            </w:r>
          </w:p>
        </w:tc>
      </w:tr>
      <w:tr>
        <w:trPr>
          <w:cantSplit/>
        </w:trPr>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One hour</w:t>
            </w:r>
          </w:p>
        </w:tc>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Trend and continuation structure</w:t>
            </w:r>
          </w:p>
        </w:tc>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Tick acceptance substitute</w:t>
            </w:r>
          </w:p>
        </w:tc>
      </w:tr>
      <w:tr>
        <w:trPr>
          <w:cantSplit/>
        </w:trPr>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Four hour and daily</w:t>
            </w:r>
          </w:p>
        </w:tc>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Permission and invalidation</w:t>
            </w:r>
          </w:p>
        </w:tc>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Direct entry trigger</w:t>
            </w:r>
          </w:p>
        </w:tc>
      </w:tr>
    </w:tbl>
    <w:p>
      <w:r>
        <w:rPr>
          <w:rFonts w:ascii="Aptos" w:hAnsi="Aptos"/>
          <w:color w:val="000000"/>
        </w:rPr>
        <w:t>A quote hold scanner is therefore a two stage machine. A closed bar creates an arm. BBO observations may accept that arm later. A next open scanner finishes its setup at the closed bar and uses the next bar open as the fill contract. Results from those paths cannot share one P and L headline.</w:t>
      </w:r>
    </w:p>
    <w:p>
      <w:r>
        <w:br w:type="page"/>
      </w:r>
    </w:p>
    <w:p>
      <w:pPr>
        <w:pStyle w:val="Heading1"/>
        <w:keepNext/>
      </w:pPr>
      <w:r>
        <w:t>Backtest Method and Limits</w:t>
      </w:r>
    </w:p>
    <w:p>
      <w:r>
        <w:rPr>
          <w:rFonts w:ascii="Aptos" w:hAnsi="Aptos"/>
          <w:color w:val="000000"/>
        </w:rPr>
        <w:t>The evidence artifact replays 12,458,847 canonical Delta India trades into BTCUSD and ETHUSD candles for 27 contiguous UTC days. Scanners are evaluated only on closed bars. The next open group books deterministic fills and subtracts 15.8 basis points of swing execution cost. The 18.8 basis point gate wall remains a pretrade filter.</w:t>
      </w:r>
    </w:p>
    <w:p>
      <w:pPr>
        <w:pStyle w:val="Heading2"/>
        <w:keepNext/>
      </w:pPr>
      <w:r>
        <w:t>What the Artifact Can Prove</w:t>
      </w:r>
    </w:p>
    <w:p>
      <w:pPr>
        <w:pStyle w:val="ListBullet"/>
        <w:spacing w:after="60"/>
      </w:pPr>
      <w:r>
        <w:rPr>
          <w:rFonts w:ascii="Aptos" w:hAnsi="Aptos"/>
          <w:color w:val="000000"/>
          <w:sz w:val="20"/>
        </w:rPr>
        <w:t>Closed bar feature and gate behavior on the canonical trade lake.</w:t>
      </w:r>
    </w:p>
    <w:p>
      <w:pPr>
        <w:pStyle w:val="ListBullet"/>
        <w:spacing w:after="60"/>
      </w:pPr>
      <w:r>
        <w:rPr>
          <w:rFonts w:ascii="Aptos" w:hAnsi="Aptos"/>
          <w:color w:val="000000"/>
          <w:sz w:val="20"/>
        </w:rPr>
        <w:t>Next open outcomes for strategy identifiers whose entry contract is next open.</w:t>
      </w:r>
    </w:p>
    <w:p>
      <w:pPr>
        <w:pStyle w:val="ListBullet"/>
        <w:spacing w:after="60"/>
      </w:pPr>
      <w:r>
        <w:rPr>
          <w:rFonts w:ascii="Aptos" w:hAnsi="Aptos"/>
          <w:color w:val="000000"/>
          <w:sz w:val="20"/>
        </w:rPr>
        <w:t>The number of quote scanner arm transitions before any BBO hold is applied.</w:t>
      </w:r>
    </w:p>
    <w:p>
      <w:pPr>
        <w:pStyle w:val="ListBullet"/>
        <w:spacing w:after="60"/>
      </w:pPr>
      <w:r>
        <w:rPr>
          <w:rFonts w:ascii="Aptos" w:hAnsi="Aptos"/>
          <w:color w:val="000000"/>
          <w:sz w:val="20"/>
        </w:rPr>
        <w:t>The absence of sufficient canonical daily context for the higher timeframe regime lanes.</w:t>
      </w:r>
    </w:p>
    <w:p>
      <w:pPr>
        <w:pStyle w:val="Heading2"/>
        <w:keepNext/>
      </w:pPr>
      <w:r>
        <w:t>What the Artifact Cannot Prove</w:t>
      </w:r>
    </w:p>
    <w:p>
      <w:pPr>
        <w:pStyle w:val="ListBullet"/>
        <w:spacing w:after="60"/>
      </w:pPr>
      <w:r>
        <w:rPr>
          <w:rFonts w:ascii="Aptos" w:hAnsi="Aptos"/>
          <w:color w:val="000000"/>
          <w:sz w:val="20"/>
        </w:rPr>
        <w:t>Quote acceptance because no lane consumed Delta BBO is present in the artifact.</w:t>
      </w:r>
    </w:p>
    <w:p>
      <w:pPr>
        <w:pStyle w:val="ListBullet"/>
        <w:spacing w:after="60"/>
      </w:pPr>
      <w:r>
        <w:rPr>
          <w:rFonts w:ascii="Aptos" w:hAnsi="Aptos"/>
          <w:color w:val="000000"/>
          <w:sz w:val="20"/>
        </w:rPr>
        <w:t>Kernel approval parity for quote scanners because quote evidence must pass FireGuard CostGate sizing and risk in the same path.</w:t>
      </w:r>
    </w:p>
    <w:p>
      <w:pPr>
        <w:pStyle w:val="ListBullet"/>
        <w:spacing w:after="60"/>
      </w:pPr>
      <w:r>
        <w:rPr>
          <w:rFonts w:ascii="Aptos" w:hAnsi="Aptos"/>
          <w:color w:val="000000"/>
          <w:sz w:val="20"/>
        </w:rPr>
        <w:t>Funding adjusted performance because funding is not included.</w:t>
      </w:r>
    </w:p>
    <w:p>
      <w:pPr>
        <w:pStyle w:val="ListBullet"/>
        <w:spacing w:after="60"/>
      </w:pPr>
      <w:r>
        <w:rPr>
          <w:rFonts w:ascii="Aptos" w:hAnsi="Aptos"/>
          <w:color w:val="000000"/>
          <w:sz w:val="20"/>
        </w:rPr>
        <w:t>Maker queue position or route quality for the structure bounce probe.</w:t>
      </w:r>
    </w:p>
    <w:p>
      <w:pPr>
        <w:pStyle w:val="ListBullet"/>
        <w:spacing w:after="60"/>
      </w:pPr>
      <w:r>
        <w:rPr>
          <w:rFonts w:ascii="Aptos" w:hAnsi="Aptos"/>
          <w:color w:val="000000"/>
          <w:sz w:val="20"/>
        </w:rPr>
        <w:t>Promotion readiness or live capital safety.</w:t>
      </w:r>
    </w:p>
    <w:p>
      <w:pPr>
        <w:pStyle w:val="Heading2"/>
        <w:keepNext/>
      </w:pPr>
      <w:r>
        <w:t>Evidence Interpretation</w:t>
      </w:r>
    </w:p>
    <w:p>
      <w:r>
        <w:rPr>
          <w:rFonts w:ascii="Aptos" w:hAnsi="Aptos"/>
          <w:color w:val="000000"/>
        </w:rPr>
        <w:t>A high arm count proves that the closed bar scanner is active. It does not prove that the book held the level, that the trade cleared costs, or that the order path would accept it. A low trade count cannot establish an edge. A large negative sample after booked costs is stronger evidence and should keep the current version off.</w:t>
      </w:r>
    </w:p>
    <w:p>
      <w:r>
        <w:br w:type="page"/>
      </w:r>
    </w:p>
    <w:p>
      <w:pPr>
        <w:pStyle w:val="Heading1"/>
        <w:keepNext/>
      </w:pPr>
      <w:r>
        <w:t>Quote Hold Scanners</w:t>
      </w:r>
    </w:p>
    <w:p>
      <w:r>
        <w:rPr>
          <w:rFonts w:ascii="Aptos" w:hAnsi="Aptos"/>
          <w:color w:val="000000"/>
        </w:rPr>
        <w:t>These scanners arm from a closed 5m or 15m bar and require subsequent BBO evidence. Their current artifact rows are setup only.</w:t>
      </w:r>
    </w:p>
    <w:p>
      <w:pPr>
        <w:pStyle w:val="Heading2"/>
        <w:keepNext/>
      </w:pPr>
      <w:r>
        <w:t>1 Squeeze Expansion Breakout</w:t>
      </w:r>
    </w:p>
    <w:p>
      <w:pPr>
        <w:spacing w:after="100"/>
      </w:pPr>
      <w:r>
        <w:rPr>
          <w:rFonts w:ascii="Aptos" w:hAnsi="Aptos"/>
          <w:b/>
          <w:color w:val="687386"/>
          <w:sz w:val="18"/>
        </w:rPr>
        <w:t xml:space="preserve">Strategy identifiers  </w:t>
      </w:r>
      <w:r>
        <w:rPr>
          <w:rFonts w:ascii="Aptos Mono" w:hAnsi="Aptos Mono"/>
          <w:color w:val="000000"/>
          <w:sz w:val="18"/>
        </w:rPr>
        <w:t>squeeze_expansion_breakout_v3  |  squeeze_expansion_breakout_v4</w:t>
      </w:r>
    </w:p>
    <w:p>
      <w:r>
        <w:rPr>
          <w:rFonts w:ascii="Aptos" w:hAnsi="Aptos"/>
          <w:color w:val="000000"/>
        </w:rPr>
        <w:t>Both versions look for a compressed five minute market that releases beyond its box. Version 3 ranks a 48 bar compression measure over 2016 bars and arms at the lowest 20 percent. Version 4 adds an exact 288 bar volume window with quote volume and trade count, then requires current volume confirmation.</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80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Decision clock</w:t>
            </w:r>
          </w:p>
        </w:tc>
        <w:tc>
          <w:tcPr>
            <w:tcW w:type="dxa" w:w="230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Required context</w:t>
            </w:r>
          </w:p>
        </w:tc>
        <w:tc>
          <w:tcPr>
            <w:tcW w:type="dxa" w:w="252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Entry contract</w:t>
            </w:r>
          </w:p>
        </w:tc>
        <w:tc>
          <w:tcPr>
            <w:tcW w:type="dxa" w:w="354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Protection and exit</w:t>
            </w:r>
          </w:p>
        </w:tc>
      </w:tr>
      <w:tr>
        <w:trPr>
          <w:cantSplit/>
        </w:trPr>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Closed 5m</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None</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BBO hold with three samples over five seconds and a 20 basis point chase cap</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Stop at 1.7 ATR with a 48 bar horizon</w:t>
            </w:r>
          </w:p>
        </w:tc>
      </w:tr>
    </w:tbl>
    <w:p>
      <w:r>
        <w:rPr>
          <w:rFonts w:ascii="Aptos" w:hAnsi="Aptos"/>
          <w:b/>
          <w:color w:val="000000"/>
        </w:rPr>
        <w:t xml:space="preserve">Evidence. </w:t>
      </w:r>
      <w:r>
        <w:rPr>
          <w:rFonts w:ascii="Aptos" w:hAnsi="Aptos"/>
          <w:color w:val="000000"/>
        </w:rPr>
        <w:t>BTCUSD 35 arm transitions; ETHUSD 33 arm transitions. Version 4 produced BTCUSD 86 arm transitions; ETHUSD 75 arm transitions.</w:t>
      </w:r>
    </w:p>
    <w:p>
      <w:r>
        <w:rPr>
          <w:rFonts w:ascii="Aptos" w:hAnsi="Aptos"/>
          <w:b/>
          <w:color w:val="000000"/>
        </w:rPr>
        <w:t xml:space="preserve">Current decision. </w:t>
      </w:r>
      <w:r>
        <w:rPr>
          <w:rFonts w:ascii="Aptos" w:hAnsi="Aptos"/>
          <w:color w:val="000000"/>
        </w:rPr>
        <w:t>Keep both off economic scoreboards until lane consumed Delta BBO is replayed. Version 4 is the stricter evidence contract; do not infer profitability from its higher arm count.</w:t>
      </w:r>
    </w:p>
    <w:p>
      <w:pPr>
        <w:pStyle w:val="Heading2"/>
        <w:keepNext/>
      </w:pPr>
      <w:r>
        <w:t>2 Tick Accepted Breakout</w:t>
      </w:r>
    </w:p>
    <w:p>
      <w:pPr>
        <w:spacing w:after="100"/>
      </w:pPr>
      <w:r>
        <w:rPr>
          <w:rFonts w:ascii="Aptos" w:hAnsi="Aptos"/>
          <w:b/>
          <w:color w:val="687386"/>
          <w:sz w:val="18"/>
        </w:rPr>
        <w:t xml:space="preserve">Strategy identifiers  </w:t>
      </w:r>
      <w:r>
        <w:rPr>
          <w:rFonts w:ascii="Aptos Mono" w:hAnsi="Aptos Mono"/>
          <w:color w:val="000000"/>
          <w:sz w:val="18"/>
        </w:rPr>
        <w:t>tick_accepted_breakout_v1</w:t>
      </w:r>
    </w:p>
    <w:p>
      <w:r>
        <w:rPr>
          <w:rFonts w:ascii="Aptos" w:hAnsi="Aptos"/>
          <w:color w:val="000000"/>
        </w:rPr>
        <w:t>This is the broadest quote accepted breakout contract. A closed five minute bar defines a 24 bar range with a five basis point buffer. The bar creates long and short levels; the book must then hold beyond the selected level.</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80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Decision clock</w:t>
            </w:r>
          </w:p>
        </w:tc>
        <w:tc>
          <w:tcPr>
            <w:tcW w:type="dxa" w:w="230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Required context</w:t>
            </w:r>
          </w:p>
        </w:tc>
        <w:tc>
          <w:tcPr>
            <w:tcW w:type="dxa" w:w="252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Entry contract</w:t>
            </w:r>
          </w:p>
        </w:tc>
        <w:tc>
          <w:tcPr>
            <w:tcW w:type="dxa" w:w="354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Protection and exit</w:t>
            </w:r>
          </w:p>
        </w:tc>
      </w:tr>
      <w:tr>
        <w:trPr>
          <w:cantSplit/>
        </w:trPr>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Closed 5m</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None</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BBO hold with three samples over three seconds and bid or ask side execution</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ATR20 geometry and a 2R objective</w:t>
            </w:r>
          </w:p>
        </w:tc>
      </w:tr>
    </w:tbl>
    <w:p>
      <w:r>
        <w:rPr>
          <w:rFonts w:ascii="Aptos" w:hAnsi="Aptos"/>
          <w:b/>
          <w:color w:val="000000"/>
        </w:rPr>
        <w:t xml:space="preserve">Evidence. </w:t>
      </w:r>
      <w:r>
        <w:rPr>
          <w:rFonts w:ascii="Aptos" w:hAnsi="Aptos"/>
          <w:color w:val="000000"/>
        </w:rPr>
        <w:t>BTCUSD 123 arm transitions; ETHUSD 124 arm transitions.</w:t>
      </w:r>
    </w:p>
    <w:p>
      <w:r>
        <w:rPr>
          <w:rFonts w:ascii="Aptos" w:hAnsi="Aptos"/>
          <w:b/>
          <w:color w:val="000000"/>
        </w:rPr>
        <w:t xml:space="preserve">Current decision. </w:t>
      </w:r>
      <w:r>
        <w:rPr>
          <w:rFonts w:ascii="Aptos" w:hAnsi="Aptos"/>
          <w:color w:val="000000"/>
        </w:rPr>
        <w:t>Use it as a quote path parity workhorse, not as a revival candidate. Its high arm count makes it useful for testing acceptance resets overflow and cost rejection.</w:t>
      </w:r>
    </w:p>
    <w:p>
      <w:r>
        <w:br w:type="page"/>
      </w:r>
    </w:p>
    <w:p>
      <w:pPr>
        <w:pStyle w:val="Heading2"/>
        <w:keepNext/>
      </w:pPr>
      <w:r>
        <w:t>3 Range Expansion Realtime</w:t>
      </w:r>
    </w:p>
    <w:p>
      <w:pPr>
        <w:spacing w:after="100"/>
      </w:pPr>
      <w:r>
        <w:rPr>
          <w:rFonts w:ascii="Aptos" w:hAnsi="Aptos"/>
          <w:b/>
          <w:color w:val="687386"/>
          <w:sz w:val="18"/>
        </w:rPr>
        <w:t xml:space="preserve">Strategy identifiers  </w:t>
      </w:r>
      <w:r>
        <w:rPr>
          <w:rFonts w:ascii="Aptos Mono" w:hAnsi="Aptos Mono"/>
          <w:color w:val="000000"/>
          <w:sz w:val="18"/>
        </w:rPr>
        <w:t>range_expansion_realtime_v1  |  range_expansion_realtime_v2</w:t>
      </w:r>
    </w:p>
    <w:p>
      <w:r>
        <w:rPr>
          <w:rFonts w:ascii="Aptos" w:hAnsi="Aptos"/>
          <w:color w:val="000000"/>
        </w:rPr>
        <w:t>The range realtime family looks for a 15 minute expansion beyond a prior 48 bar boundary during the 12 to 16 UTC session. It also requires hour profile expansion, a strong body, volume confirmation, and at least 20 basis points of projected net room. Version 2 computes the boundary before the arm bar and uses a lagged volume ratio of at least 0.5, which removes same bar contamination.</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80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Decision clock</w:t>
            </w:r>
          </w:p>
        </w:tc>
        <w:tc>
          <w:tcPr>
            <w:tcW w:type="dxa" w:w="230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Required context</w:t>
            </w:r>
          </w:p>
        </w:tc>
        <w:tc>
          <w:tcPr>
            <w:tcW w:type="dxa" w:w="252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Entry contract</w:t>
            </w:r>
          </w:p>
        </w:tc>
        <w:tc>
          <w:tcPr>
            <w:tcW w:type="dxa" w:w="354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Protection and exit</w:t>
            </w:r>
          </w:p>
        </w:tc>
      </w:tr>
      <w:tr>
        <w:trPr>
          <w:cantSplit/>
        </w:trPr>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Closed 15m</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None</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BBO hold with three samples over three seconds and a 10 basis point chase cap</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Stop at 1.5 ATR and target at 2R</w:t>
            </w:r>
          </w:p>
        </w:tc>
      </w:tr>
    </w:tbl>
    <w:p>
      <w:r>
        <w:rPr>
          <w:rFonts w:ascii="Aptos" w:hAnsi="Aptos"/>
          <w:b/>
          <w:color w:val="000000"/>
        </w:rPr>
        <w:t xml:space="preserve">Evidence. </w:t>
      </w:r>
      <w:r>
        <w:rPr>
          <w:rFonts w:ascii="Aptos" w:hAnsi="Aptos"/>
          <w:color w:val="000000"/>
        </w:rPr>
        <w:t>Version 1 produced BTCUSD 2 arm transitions; ETHUSD 2 arm transitions. Version 2 produced BTCUSD 14 arm transitions; ETHUSD 18 arm transitions.</w:t>
      </w:r>
    </w:p>
    <w:p>
      <w:r>
        <w:rPr>
          <w:rFonts w:ascii="Aptos" w:hAnsi="Aptos"/>
          <w:b/>
          <w:color w:val="000000"/>
        </w:rPr>
        <w:t xml:space="preserve">Current decision. </w:t>
      </w:r>
      <w:r>
        <w:rPr>
          <w:rFonts w:ascii="Aptos" w:hAnsi="Aptos"/>
          <w:color w:val="000000"/>
        </w:rPr>
        <w:t>Version 2 is the preferred range revival candidate. Capture the exact Delta BBO consumed by the lane and keep the projected net gate unchanged.</w:t>
      </w:r>
    </w:p>
    <w:p>
      <w:pPr>
        <w:pStyle w:val="Heading2"/>
        <w:keepNext/>
      </w:pPr>
      <w:r>
        <w:t>4 Structure Break Realtime</w:t>
      </w:r>
    </w:p>
    <w:p>
      <w:pPr>
        <w:spacing w:after="100"/>
      </w:pPr>
      <w:r>
        <w:rPr>
          <w:rFonts w:ascii="Aptos" w:hAnsi="Aptos"/>
          <w:b/>
          <w:color w:val="687386"/>
          <w:sz w:val="18"/>
        </w:rPr>
        <w:t xml:space="preserve">Strategy identifiers  </w:t>
      </w:r>
      <w:r>
        <w:rPr>
          <w:rFonts w:ascii="Aptos Mono" w:hAnsi="Aptos Mono"/>
          <w:color w:val="000000"/>
          <w:sz w:val="18"/>
        </w:rPr>
        <w:t>structure_bos_realtime_v1  |  structure_bos_realtime_v2</w:t>
      </w:r>
    </w:p>
    <w:p>
      <w:r>
        <w:rPr>
          <w:rFonts w:ascii="Aptos" w:hAnsi="Aptos"/>
          <w:color w:val="000000"/>
        </w:rPr>
        <w:t>The structure break family rolls complete 15 minute children into one hour parents, detects strict three left and three right confirmed swings, and requires one hour and four hour trends to align. It also applies session, volume, dual AVWAP conflict, projected payoff, and a five basis point break buffer. Version 2 evaluates the session at the decision close and uses a stable level episode identity.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80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Decision clock</w:t>
            </w:r>
          </w:p>
        </w:tc>
        <w:tc>
          <w:tcPr>
            <w:tcW w:type="dxa" w:w="230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Required context</w:t>
            </w:r>
          </w:p>
        </w:tc>
        <w:tc>
          <w:tcPr>
            <w:tcW w:type="dxa" w:w="252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Entry contract</w:t>
            </w:r>
          </w:p>
        </w:tc>
        <w:tc>
          <w:tcPr>
            <w:tcW w:type="dxa" w:w="354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Protection and exit</w:t>
            </w:r>
          </w:p>
        </w:tc>
      </w:tr>
      <w:tr>
        <w:trPr>
          <w:cantSplit/>
        </w:trPr>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Closed 15m</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Bound 4h structure and completed 1h parent</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BBO hold with three samples over three seconds and a 10 basis point chase cap</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Swing based stop or 1.5 ATR fallback with a 1.5R objective</w:t>
            </w:r>
          </w:p>
        </w:tc>
      </w:tr>
    </w:tbl>
    <w:p>
      <w:r>
        <w:rPr>
          <w:rFonts w:ascii="Aptos" w:hAnsi="Aptos"/>
          <w:b/>
          <w:color w:val="000000"/>
        </w:rPr>
        <w:t xml:space="preserve">Evidence. </w:t>
      </w:r>
      <w:r>
        <w:rPr>
          <w:rFonts w:ascii="Aptos" w:hAnsi="Aptos"/>
          <w:color w:val="000000"/>
        </w:rPr>
        <w:t>Version 1 produced BTCUSD 9 arm transitions; ETHUSD 4 arm transitions. Version 2 produced BTCUSD 2 arm transitions; ETHUSD 1 arm transitions.</w:t>
      </w:r>
    </w:p>
    <w:p>
      <w:r>
        <w:rPr>
          <w:rFonts w:ascii="Aptos" w:hAnsi="Aptos"/>
          <w:b/>
          <w:color w:val="000000"/>
        </w:rPr>
        <w:t xml:space="preserve">Current decision. </w:t>
      </w:r>
      <w:r>
        <w:rPr>
          <w:rFonts w:ascii="Aptos" w:hAnsi="Aptos"/>
          <w:color w:val="000000"/>
        </w:rPr>
        <w:t>Leave the family selective. Before any revival, enforce exact parent identity and a bound four hour snapshot, then prove the quote and approval path on nonzero arms.</w:t>
      </w:r>
    </w:p>
    <w:p>
      <w:r>
        <w:br w:type="page"/>
      </w:r>
    </w:p>
    <w:p>
      <w:pPr>
        <w:pStyle w:val="Heading2"/>
        <w:keepNext/>
      </w:pPr>
      <w:r>
        <w:t>5 Session Continuation Realtime</w:t>
      </w:r>
    </w:p>
    <w:p>
      <w:pPr>
        <w:spacing w:after="100"/>
      </w:pPr>
      <w:r>
        <w:rPr>
          <w:rFonts w:ascii="Aptos" w:hAnsi="Aptos"/>
          <w:b/>
          <w:color w:val="687386"/>
          <w:sz w:val="18"/>
        </w:rPr>
        <w:t xml:space="preserve">Strategy identifiers  </w:t>
      </w:r>
      <w:r>
        <w:rPr>
          <w:rFonts w:ascii="Aptos Mono" w:hAnsi="Aptos Mono"/>
          <w:color w:val="000000"/>
          <w:sz w:val="18"/>
        </w:rPr>
        <w:t>session_continuation_realtime_v1  |  session_continuation_realtime_v2</w:t>
      </w:r>
    </w:p>
    <w:p>
      <w:r>
        <w:rPr>
          <w:rFonts w:ascii="Aptos" w:hAnsi="Aptos"/>
          <w:color w:val="000000"/>
        </w:rPr>
        <w:t>This family breaks a short four bar session range when current volume exceeds the 32 bar median and the regime router allows the side. Version 1 checks the session at the bar open. Version 2 checks it at the decision close, which matches the entry clock more closely. Both cap the family at one daily entry.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80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Decision clock</w:t>
            </w:r>
          </w:p>
        </w:tc>
        <w:tc>
          <w:tcPr>
            <w:tcW w:type="dxa" w:w="230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Required context</w:t>
            </w:r>
          </w:p>
        </w:tc>
        <w:tc>
          <w:tcPr>
            <w:tcW w:type="dxa" w:w="252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Entry contract</w:t>
            </w:r>
          </w:p>
        </w:tc>
        <w:tc>
          <w:tcPr>
            <w:tcW w:type="dxa" w:w="354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Protection and exit</w:t>
            </w:r>
          </w:p>
        </w:tc>
      </w:tr>
      <w:tr>
        <w:trPr>
          <w:cantSplit/>
        </w:trPr>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Closed 15m</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No mandatory HTF frame</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BBO hold with three samples over three seconds and an eight basis point chase cap</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One ATR stop two R target and one entry per day</w:t>
            </w:r>
          </w:p>
        </w:tc>
      </w:tr>
    </w:tbl>
    <w:p>
      <w:r>
        <w:rPr>
          <w:rFonts w:ascii="Aptos" w:hAnsi="Aptos"/>
          <w:b/>
          <w:color w:val="000000"/>
        </w:rPr>
        <w:t xml:space="preserve">Evidence. </w:t>
      </w:r>
      <w:r>
        <w:rPr>
          <w:rFonts w:ascii="Aptos" w:hAnsi="Aptos"/>
          <w:color w:val="000000"/>
        </w:rPr>
        <w:t>Version 1 produced BTCUSD 126 arm transitions; ETHUSD 109 arm transitions. Version 2 produced BTCUSD 120 arm transitions; ETHUSD 99 arm transitions.</w:t>
      </w:r>
    </w:p>
    <w:p>
      <w:r>
        <w:rPr>
          <w:rFonts w:ascii="Aptos" w:hAnsi="Aptos"/>
          <w:b/>
          <w:color w:val="000000"/>
        </w:rPr>
        <w:t xml:space="preserve">Current decision. </w:t>
      </w:r>
      <w:r>
        <w:rPr>
          <w:rFonts w:ascii="Aptos" w:hAnsi="Aptos"/>
          <w:color w:val="000000"/>
        </w:rPr>
        <w:t>Do not revive by loosening the fee wall. The high arm rate requires quote conversion evidence and tighter geometry if accepted moves remain too small after costs.</w:t>
      </w:r>
    </w:p>
    <w:p>
      <w:pPr>
        <w:pStyle w:val="Heading2"/>
        <w:keepNext/>
      </w:pPr>
      <w:r>
        <w:t>6 Higher Timeframe Structure Continuation Realtime</w:t>
      </w:r>
    </w:p>
    <w:p>
      <w:pPr>
        <w:spacing w:after="100"/>
      </w:pPr>
      <w:r>
        <w:rPr>
          <w:rFonts w:ascii="Aptos" w:hAnsi="Aptos"/>
          <w:b/>
          <w:color w:val="687386"/>
          <w:sz w:val="18"/>
        </w:rPr>
        <w:t xml:space="preserve">Strategy identifiers  </w:t>
      </w:r>
      <w:r>
        <w:rPr>
          <w:rFonts w:ascii="Aptos Mono" w:hAnsi="Aptos Mono"/>
          <w:color w:val="000000"/>
          <w:sz w:val="18"/>
        </w:rPr>
        <w:t>htf_structure_continuation_realtime_v1</w:t>
      </w:r>
    </w:p>
    <w:p>
      <w:r>
        <w:rPr>
          <w:rFonts w:ascii="Aptos" w:hAnsi="Aptos"/>
          <w:color w:val="000000"/>
        </w:rPr>
        <w:t>This scanner uses a completed one hour and four hour structure map, then waits for a 15 minute pullback to the fast EMA. The close must recover with the aligned trend, preserve the slow EMA, print a minimum body, pass volume, and leave at least eight basis points after a projected 2.5R move and gate costs.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80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Decision clock</w:t>
            </w:r>
          </w:p>
        </w:tc>
        <w:tc>
          <w:tcPr>
            <w:tcW w:type="dxa" w:w="230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Required context</w:t>
            </w:r>
          </w:p>
        </w:tc>
        <w:tc>
          <w:tcPr>
            <w:tcW w:type="dxa" w:w="252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Entry contract</w:t>
            </w:r>
          </w:p>
        </w:tc>
        <w:tc>
          <w:tcPr>
            <w:tcW w:type="dxa" w:w="354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Protection and exit</w:t>
            </w:r>
          </w:p>
        </w:tc>
      </w:tr>
      <w:tr>
        <w:trPr>
          <w:cantSplit/>
        </w:trPr>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Closed 15m</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Bound 1h and 4h structure</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BBO hold with three samples over three seconds and an eight basis point chase cap</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Structure floor stop at 1.25 ATR no fixed target break even at 1.25R and trail after 2R</w:t>
            </w:r>
          </w:p>
        </w:tc>
      </w:tr>
    </w:tbl>
    <w:p>
      <w:r>
        <w:rPr>
          <w:rFonts w:ascii="Aptos" w:hAnsi="Aptos"/>
          <w:b/>
          <w:color w:val="000000"/>
        </w:rPr>
        <w:t xml:space="preserve">Evidence. </w:t>
      </w:r>
      <w:r>
        <w:rPr>
          <w:rFonts w:ascii="Aptos" w:hAnsi="Aptos"/>
          <w:color w:val="000000"/>
        </w:rPr>
        <w:t>BTCUSD 7 arm transitions; ETHUSD 6 arm transitions.</w:t>
      </w:r>
    </w:p>
    <w:p>
      <w:r>
        <w:rPr>
          <w:rFonts w:ascii="Aptos" w:hAnsi="Aptos"/>
          <w:b/>
          <w:color w:val="000000"/>
        </w:rPr>
        <w:t xml:space="preserve">Current decision. </w:t>
      </w:r>
      <w:r>
        <w:rPr>
          <w:rFonts w:ascii="Aptos" w:hAnsi="Aptos"/>
          <w:color w:val="000000"/>
        </w:rPr>
        <w:t>This is the strongest quote revival candidate because the arm rate is selective. Prove bound context identity lane consumed BBO and kernel approval parity before changing its hold or exit rules.</w:t>
      </w:r>
    </w:p>
    <w:p>
      <w:r>
        <w:br w:type="page"/>
      </w:r>
    </w:p>
    <w:p>
      <w:pPr>
        <w:pStyle w:val="Heading1"/>
        <w:keepNext/>
      </w:pPr>
      <w:r>
        <w:t>Next Open Scanners</w:t>
      </w:r>
    </w:p>
    <w:p>
      <w:r>
        <w:rPr>
          <w:rFonts w:ascii="Aptos" w:hAnsi="Aptos"/>
          <w:color w:val="000000"/>
        </w:rPr>
        <w:t>These scanners evaluate a closed bar and use the next bar open as the entry contract. Their outcomes are comparable only within this group.</w:t>
      </w:r>
    </w:p>
    <w:p>
      <w:pPr>
        <w:pStyle w:val="Heading2"/>
        <w:keepNext/>
      </w:pPr>
      <w:r>
        <w:t>7 Range Expansion Observer</w:t>
      </w:r>
    </w:p>
    <w:p>
      <w:pPr>
        <w:spacing w:after="100"/>
      </w:pPr>
      <w:r>
        <w:rPr>
          <w:rFonts w:ascii="Aptos" w:hAnsi="Aptos"/>
          <w:b/>
          <w:color w:val="687386"/>
          <w:sz w:val="18"/>
        </w:rPr>
        <w:t xml:space="preserve">Strategy identifiers  </w:t>
      </w:r>
      <w:r>
        <w:rPr>
          <w:rFonts w:ascii="Aptos Mono" w:hAnsi="Aptos Mono"/>
          <w:color w:val="000000"/>
          <w:sz w:val="18"/>
        </w:rPr>
        <w:t>range_expansion_observer_v3  |  range_expansion_observer_v4</w:t>
      </w:r>
    </w:p>
    <w:p>
      <w:r>
        <w:rPr>
          <w:rFonts w:ascii="Aptos" w:hAnsi="Aptos"/>
          <w:color w:val="000000"/>
        </w:rPr>
        <w:t>The observer versions use the same 15 minute expansion geometry as the realtime family but enter at the next 15 minute open. Version 4 moves the spacing rule behind final eligibility so an ineligible bar cannot consume the episode cooldown.</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80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Decision clock</w:t>
            </w:r>
          </w:p>
        </w:tc>
        <w:tc>
          <w:tcPr>
            <w:tcW w:type="dxa" w:w="230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Required context</w:t>
            </w:r>
          </w:p>
        </w:tc>
        <w:tc>
          <w:tcPr>
            <w:tcW w:type="dxa" w:w="252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Entry contract</w:t>
            </w:r>
          </w:p>
        </w:tc>
        <w:tc>
          <w:tcPr>
            <w:tcW w:type="dxa" w:w="354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Protection and exit</w:t>
            </w:r>
          </w:p>
        </w:tc>
      </w:tr>
      <w:tr>
        <w:trPr>
          <w:cantSplit/>
        </w:trPr>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Closed 15m</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None</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Next 15m open</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Stop at 1.5 ATR target at 2R and 12 hour horizon</w:t>
            </w:r>
          </w:p>
        </w:tc>
      </w:tr>
    </w:tbl>
    <w:p>
      <w:r>
        <w:rPr>
          <w:rFonts w:ascii="Aptos" w:hAnsi="Aptos"/>
          <w:b/>
          <w:color w:val="000000"/>
        </w:rPr>
        <w:t xml:space="preserve">Evidence. </w:t>
      </w:r>
      <w:r>
        <w:rPr>
          <w:rFonts w:ascii="Aptos" w:hAnsi="Aptos"/>
          <w:color w:val="000000"/>
        </w:rPr>
        <w:t>BTCUSD 1 trades and -51.0 bps; ETHUSD 1 trades and +76.7 bps.</w:t>
      </w:r>
    </w:p>
    <w:p>
      <w:r>
        <w:rPr>
          <w:rFonts w:ascii="Aptos" w:hAnsi="Aptos"/>
          <w:b/>
          <w:color w:val="000000"/>
        </w:rPr>
        <w:t xml:space="preserve">Current decision. </w:t>
      </w:r>
      <w:r>
        <w:rPr>
          <w:rFonts w:ascii="Aptos" w:hAnsi="Aptos"/>
          <w:color w:val="000000"/>
        </w:rPr>
        <w:t>The opposite one trade outcomes on BTC and ETH are under sampled. Extend Version 4 to at least 90 canonical days before deciding whether to retain or kill it.</w:t>
      </w:r>
    </w:p>
    <w:p>
      <w:pPr>
        <w:pStyle w:val="Heading2"/>
        <w:keepNext/>
      </w:pPr>
      <w:r>
        <w:t>8 Structure Break Trigger</w:t>
      </w:r>
    </w:p>
    <w:p>
      <w:pPr>
        <w:spacing w:after="100"/>
      </w:pPr>
      <w:r>
        <w:rPr>
          <w:rFonts w:ascii="Aptos" w:hAnsi="Aptos"/>
          <w:b/>
          <w:color w:val="687386"/>
          <w:sz w:val="18"/>
        </w:rPr>
        <w:t xml:space="preserve">Strategy identifiers  </w:t>
      </w:r>
      <w:r>
        <w:rPr>
          <w:rFonts w:ascii="Aptos Mono" w:hAnsi="Aptos Mono"/>
          <w:color w:val="000000"/>
          <w:sz w:val="18"/>
        </w:rPr>
        <w:t>structure_bos_15m_trigger_v2  |  structure_bos_15m_trigger_v3</w:t>
      </w:r>
    </w:p>
    <w:p>
      <w:r>
        <w:rPr>
          <w:rFonts w:ascii="Aptos" w:hAnsi="Aptos"/>
          <w:color w:val="000000"/>
        </w:rPr>
        <w:t>This closed bar BoS contract requires completed one hour parents, confirmed three by three swings, one hour and four hour alignment, a valid session, volume confirmation, AVWAP permission, a five basis point break buffer, and at least four basis points of projected net payoff. Version 3 applies episode spacing only after all gates pass.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80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Decision clock</w:t>
            </w:r>
          </w:p>
        </w:tc>
        <w:tc>
          <w:tcPr>
            <w:tcW w:type="dxa" w:w="230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Required context</w:t>
            </w:r>
          </w:p>
        </w:tc>
        <w:tc>
          <w:tcPr>
            <w:tcW w:type="dxa" w:w="252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Entry contract</w:t>
            </w:r>
          </w:p>
        </w:tc>
        <w:tc>
          <w:tcPr>
            <w:tcW w:type="dxa" w:w="354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Protection and exit</w:t>
            </w:r>
          </w:p>
        </w:tc>
      </w:tr>
      <w:tr>
        <w:trPr>
          <w:cantSplit/>
        </w:trPr>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Closed 15m</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Completed 1h parent and bound 4h structure</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Next 15m open</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Swing stop with ten basis point buffer or 1.5 ATR fallback target 1.5R horizon 48 hours</w:t>
            </w:r>
          </w:p>
        </w:tc>
      </w:tr>
    </w:tbl>
    <w:p>
      <w:r>
        <w:rPr>
          <w:rFonts w:ascii="Aptos" w:hAnsi="Aptos"/>
          <w:b/>
          <w:color w:val="000000"/>
        </w:rPr>
        <w:t xml:space="preserve">Evidence. </w:t>
      </w:r>
      <w:r>
        <w:rPr>
          <w:rFonts w:ascii="Aptos" w:hAnsi="Aptos"/>
          <w:color w:val="000000"/>
        </w:rPr>
        <w:t>BTCUSD 2 trades and -182.1 bps; ETHUSD 0 trades and +0.0 bps.</w:t>
      </w:r>
    </w:p>
    <w:p>
      <w:r>
        <w:rPr>
          <w:rFonts w:ascii="Aptos" w:hAnsi="Aptos"/>
          <w:b/>
          <w:color w:val="000000"/>
        </w:rPr>
        <w:t xml:space="preserve">Current decision. </w:t>
      </w:r>
      <w:r>
        <w:rPr>
          <w:rFonts w:ascii="Aptos" w:hAnsi="Aptos"/>
          <w:color w:val="000000"/>
        </w:rPr>
        <w:t>Keep off. Before another window, require the joined one hour parent identity to equal the decision hour or emit structure_parent_missing. Do not loosen structure or cost gates on this seen period.</w:t>
      </w:r>
    </w:p>
    <w:p>
      <w:r>
        <w:br w:type="page"/>
      </w:r>
    </w:p>
    <w:p>
      <w:pPr>
        <w:pStyle w:val="Heading2"/>
        <w:keepNext/>
      </w:pPr>
      <w:r>
        <w:t>9 Swing Anchored Volume Weighted Reclaim</w:t>
      </w:r>
    </w:p>
    <w:p>
      <w:pPr>
        <w:spacing w:after="100"/>
      </w:pPr>
      <w:r>
        <w:rPr>
          <w:rFonts w:ascii="Aptos" w:hAnsi="Aptos"/>
          <w:b/>
          <w:color w:val="687386"/>
          <w:sz w:val="18"/>
        </w:rPr>
        <w:t xml:space="preserve">Strategy identifiers  </w:t>
      </w:r>
      <w:r>
        <w:rPr>
          <w:rFonts w:ascii="Aptos Mono" w:hAnsi="Aptos Mono"/>
          <w:color w:val="000000"/>
          <w:sz w:val="18"/>
        </w:rPr>
        <w:t>avwap_reclaim_15m_v1</w:t>
      </w:r>
    </w:p>
    <w:p>
      <w:r>
        <w:rPr>
          <w:rFonts w:ascii="Aptos" w:hAnsi="Aptos"/>
          <w:color w:val="000000"/>
        </w:rPr>
        <w:t>Version 1 anchors an exact quote over base VWAP to the latest confirmed three by three swing. A long requires the previous close to sit at least 15 basis points below that mean and the current close to reclaim it. The short side mirrors the rule. The current implementation has known evidence gaps because base volume can be filled with zero and the full swing window does not require quality.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80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Decision clock</w:t>
            </w:r>
          </w:p>
        </w:tc>
        <w:tc>
          <w:tcPr>
            <w:tcW w:type="dxa" w:w="230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Required context</w:t>
            </w:r>
          </w:p>
        </w:tc>
        <w:tc>
          <w:tcPr>
            <w:tcW w:type="dxa" w:w="252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Entry contract</w:t>
            </w:r>
          </w:p>
        </w:tc>
        <w:tc>
          <w:tcPr>
            <w:tcW w:type="dxa" w:w="354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Protection and exit</w:t>
            </w:r>
          </w:p>
        </w:tc>
      </w:tr>
      <w:tr>
        <w:trPr>
          <w:cantSplit/>
        </w:trPr>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Closed 15m</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None</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Next 15m open</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One ATR stop two R target and 12 hour horizon</w:t>
            </w:r>
          </w:p>
        </w:tc>
      </w:tr>
    </w:tbl>
    <w:p>
      <w:r>
        <w:rPr>
          <w:rFonts w:ascii="Aptos" w:hAnsi="Aptos"/>
          <w:b/>
          <w:color w:val="000000"/>
        </w:rPr>
        <w:t xml:space="preserve">Evidence. </w:t>
      </w:r>
      <w:r>
        <w:rPr>
          <w:rFonts w:ascii="Aptos" w:hAnsi="Aptos"/>
          <w:color w:val="000000"/>
        </w:rPr>
        <w:t>BTCUSD 35 trades and -416.1 bps; ETHUSD 60 trades and -699.2 bps.</w:t>
      </w:r>
    </w:p>
    <w:p>
      <w:r>
        <w:rPr>
          <w:rFonts w:ascii="Aptos" w:hAnsi="Aptos"/>
          <w:b/>
          <w:color w:val="000000"/>
        </w:rPr>
        <w:t xml:space="preserve">Current decision. </w:t>
      </w:r>
      <w:r>
        <w:rPr>
          <w:rFonts w:ascii="Aptos" w:hAnsi="Aptos"/>
          <w:color w:val="000000"/>
        </w:rPr>
        <w:t>Do not revive Version 1. Any further research requires avwap_reclaim_15m_v2 with closed immutable swings full window quality exact positive base and quote volume and anchor timestamps in the evidence envelope.</w:t>
      </w:r>
    </w:p>
    <w:p>
      <w:pPr>
        <w:pStyle w:val="Heading2"/>
        <w:keepNext/>
      </w:pPr>
      <w:r>
        <w:t>10 Session Continuation</w:t>
      </w:r>
    </w:p>
    <w:p>
      <w:pPr>
        <w:spacing w:after="100"/>
      </w:pPr>
      <w:r>
        <w:rPr>
          <w:rFonts w:ascii="Aptos" w:hAnsi="Aptos"/>
          <w:b/>
          <w:color w:val="687386"/>
          <w:sz w:val="18"/>
        </w:rPr>
        <w:t xml:space="preserve">Strategy identifiers  </w:t>
      </w:r>
      <w:r>
        <w:rPr>
          <w:rFonts w:ascii="Aptos Mono" w:hAnsi="Aptos Mono"/>
          <w:color w:val="000000"/>
          <w:sz w:val="18"/>
        </w:rPr>
        <w:t>session_continuation_15m_v1</w:t>
      </w:r>
    </w:p>
    <w:p>
      <w:r>
        <w:rPr>
          <w:rFonts w:ascii="Aptos" w:hAnsi="Aptos"/>
          <w:color w:val="000000"/>
        </w:rPr>
        <w:t>The closed bar session continuation scanner breaks the prior four bar range during the 12 to 16 UTC window, requires current volume above the 32 bar median, and respects the regime route. It is a time boxed breakout and does not use session VWAP.</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80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Decision clock</w:t>
            </w:r>
          </w:p>
        </w:tc>
        <w:tc>
          <w:tcPr>
            <w:tcW w:type="dxa" w:w="230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Required context</w:t>
            </w:r>
          </w:p>
        </w:tc>
        <w:tc>
          <w:tcPr>
            <w:tcW w:type="dxa" w:w="252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Entry contract</w:t>
            </w:r>
          </w:p>
        </w:tc>
        <w:tc>
          <w:tcPr>
            <w:tcW w:type="dxa" w:w="354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Protection and exit</w:t>
            </w:r>
          </w:p>
        </w:tc>
      </w:tr>
      <w:tr>
        <w:trPr>
          <w:cantSplit/>
        </w:trPr>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Closed 15m</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None</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Next 15m open</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One ATR stop two R target and eight hour horizon</w:t>
            </w:r>
          </w:p>
        </w:tc>
      </w:tr>
    </w:tbl>
    <w:p>
      <w:r>
        <w:rPr>
          <w:rFonts w:ascii="Aptos" w:hAnsi="Aptos"/>
          <w:b/>
          <w:color w:val="000000"/>
        </w:rPr>
        <w:t xml:space="preserve">Evidence. </w:t>
      </w:r>
      <w:r>
        <w:rPr>
          <w:rFonts w:ascii="Aptos" w:hAnsi="Aptos"/>
          <w:color w:val="000000"/>
        </w:rPr>
        <w:t>BTCUSD 18 trades and -318.9 bps; ETHUSD 15 trades and -304.1 bps.</w:t>
      </w:r>
    </w:p>
    <w:p>
      <w:r>
        <w:rPr>
          <w:rFonts w:ascii="Aptos" w:hAnsi="Aptos"/>
          <w:b/>
          <w:color w:val="000000"/>
        </w:rPr>
        <w:t xml:space="preserve">Current decision. </w:t>
      </w:r>
      <w:r>
        <w:rPr>
          <w:rFonts w:ascii="Aptos" w:hAnsi="Aptos"/>
          <w:color w:val="000000"/>
        </w:rPr>
        <w:t>Keep the current version off. The combined BTC and ETH samples are negative after cost. A new version would need larger post cost geometry, not a weaker tariff model.</w:t>
      </w:r>
    </w:p>
    <w:p>
      <w:pPr>
        <w:pStyle w:val="Heading2"/>
        <w:keepNext/>
      </w:pPr>
      <w:r>
        <w:t>11 Liquidity Sweep Reversal</w:t>
      </w:r>
    </w:p>
    <w:p>
      <w:pPr>
        <w:spacing w:after="100"/>
      </w:pPr>
      <w:r>
        <w:rPr>
          <w:rFonts w:ascii="Aptos" w:hAnsi="Aptos"/>
          <w:b/>
          <w:color w:val="687386"/>
          <w:sz w:val="18"/>
        </w:rPr>
        <w:t xml:space="preserve">Strategy identifiers  </w:t>
      </w:r>
      <w:r>
        <w:rPr>
          <w:rFonts w:ascii="Aptos Mono" w:hAnsi="Aptos Mono"/>
          <w:color w:val="000000"/>
          <w:sz w:val="18"/>
        </w:rPr>
        <w:t>liquidity_sweep_reversal_15m_v1</w:t>
      </w:r>
    </w:p>
    <w:p>
      <w:r>
        <w:rPr>
          <w:rFonts w:ascii="Aptos" w:hAnsi="Aptos"/>
          <w:color w:val="000000"/>
        </w:rPr>
        <w:t>This reversal contract watches a 20 bar range. Price must sweep the range by at least five basis points, leave a large rejection wick, and close back inside. The strategy then enters at the next 15 minute open if the regime route allows the reversal.</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80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Decision clock</w:t>
            </w:r>
          </w:p>
        </w:tc>
        <w:tc>
          <w:tcPr>
            <w:tcW w:type="dxa" w:w="230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Required context</w:t>
            </w:r>
          </w:p>
        </w:tc>
        <w:tc>
          <w:tcPr>
            <w:tcW w:type="dxa" w:w="252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Entry contract</w:t>
            </w:r>
          </w:p>
        </w:tc>
        <w:tc>
          <w:tcPr>
            <w:tcW w:type="dxa" w:w="354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Protection and exit</w:t>
            </w:r>
          </w:p>
        </w:tc>
      </w:tr>
      <w:tr>
        <w:trPr>
          <w:cantSplit/>
        </w:trPr>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Closed 15m</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None</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Next 15m open</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One ATR stop target 1.8R and eight hour horizon</w:t>
            </w:r>
          </w:p>
        </w:tc>
      </w:tr>
    </w:tbl>
    <w:p>
      <w:r>
        <w:rPr>
          <w:rFonts w:ascii="Aptos" w:hAnsi="Aptos"/>
          <w:b/>
          <w:color w:val="000000"/>
        </w:rPr>
        <w:t xml:space="preserve">Evidence. </w:t>
      </w:r>
      <w:r>
        <w:rPr>
          <w:rFonts w:ascii="Aptos" w:hAnsi="Aptos"/>
          <w:color w:val="000000"/>
        </w:rPr>
        <w:t>BTCUSD 51 trades and -987.1 bps; ETHUSD 71 trades and -970.9 bps.</w:t>
      </w:r>
    </w:p>
    <w:p>
      <w:r>
        <w:rPr>
          <w:rFonts w:ascii="Aptos" w:hAnsi="Aptos"/>
          <w:b/>
          <w:color w:val="000000"/>
        </w:rPr>
        <w:t xml:space="preserve">Current decision. </w:t>
      </w:r>
      <w:r>
        <w:rPr>
          <w:rFonts w:ascii="Aptos" w:hAnsi="Aptos"/>
          <w:color w:val="000000"/>
        </w:rPr>
        <w:t>Keep off. This is a high sample negative result on both symbols. Reviving it would require a new claim or a materially different confirmation contract and a new strategy identifier.</w:t>
      </w:r>
    </w:p>
    <w:p>
      <w:r>
        <w:br w:type="page"/>
      </w:r>
    </w:p>
    <w:p>
      <w:pPr>
        <w:pStyle w:val="Heading2"/>
        <w:keepNext/>
      </w:pPr>
      <w:r>
        <w:t>12 Trend Pullback</w:t>
      </w:r>
    </w:p>
    <w:p>
      <w:pPr>
        <w:spacing w:after="100"/>
      </w:pPr>
      <w:r>
        <w:rPr>
          <w:rFonts w:ascii="Aptos" w:hAnsi="Aptos"/>
          <w:b/>
          <w:color w:val="687386"/>
          <w:sz w:val="18"/>
        </w:rPr>
        <w:t xml:space="preserve">Strategy identifiers  </w:t>
      </w:r>
      <w:r>
        <w:rPr>
          <w:rFonts w:ascii="Aptos Mono" w:hAnsi="Aptos Mono"/>
          <w:color w:val="000000"/>
          <w:sz w:val="18"/>
        </w:rPr>
        <w:t>trend_pullback_1h_v1</w:t>
      </w:r>
    </w:p>
    <w:p>
      <w:r>
        <w:rPr>
          <w:rFonts w:ascii="Aptos" w:hAnsi="Aptos"/>
          <w:color w:val="000000"/>
        </w:rPr>
        <w:t>The one hour pullback scanner defines trend with EMA20 and EMA50. The prior bar must touch the fast EMA without losing the slow EMA, and the current bar must break the prior high or low while recovering the fast EMA. The regime router remains a side veto.</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80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Decision clock</w:t>
            </w:r>
          </w:p>
        </w:tc>
        <w:tc>
          <w:tcPr>
            <w:tcW w:type="dxa" w:w="230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Required context</w:t>
            </w:r>
          </w:p>
        </w:tc>
        <w:tc>
          <w:tcPr>
            <w:tcW w:type="dxa" w:w="252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Entry contract</w:t>
            </w:r>
          </w:p>
        </w:tc>
        <w:tc>
          <w:tcPr>
            <w:tcW w:type="dxa" w:w="354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Protection and exit</w:t>
            </w:r>
          </w:p>
        </w:tc>
      </w:tr>
      <w:tr>
        <w:trPr>
          <w:cantSplit/>
        </w:trPr>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Closed 1h</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No explicit context frame</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Next 1h open</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ATR20 stop target 2.5R and 48 hour horizon</w:t>
            </w:r>
          </w:p>
        </w:tc>
      </w:tr>
    </w:tbl>
    <w:p>
      <w:r>
        <w:rPr>
          <w:rFonts w:ascii="Aptos" w:hAnsi="Aptos"/>
          <w:b/>
          <w:color w:val="000000"/>
        </w:rPr>
        <w:t xml:space="preserve">Evidence. </w:t>
      </w:r>
      <w:r>
        <w:rPr>
          <w:rFonts w:ascii="Aptos" w:hAnsi="Aptos"/>
          <w:color w:val="000000"/>
        </w:rPr>
        <w:t>BTCUSD 2 trades and -154.1 bps; ETHUSD 2 trades and -183.7 bps.</w:t>
      </w:r>
    </w:p>
    <w:p>
      <w:r>
        <w:rPr>
          <w:rFonts w:ascii="Aptos" w:hAnsi="Aptos"/>
          <w:b/>
          <w:color w:val="000000"/>
        </w:rPr>
        <w:t xml:space="preserve">Current decision. </w:t>
      </w:r>
      <w:r>
        <w:rPr>
          <w:rFonts w:ascii="Aptos" w:hAnsi="Aptos"/>
          <w:color w:val="000000"/>
        </w:rPr>
        <w:t>Keep off pending a longer sample. Four combined trades are insufficient and all were negative on this window.</w:t>
      </w:r>
    </w:p>
    <w:p>
      <w:pPr>
        <w:pStyle w:val="Heading2"/>
        <w:keepNext/>
      </w:pPr>
      <w:r>
        <w:t>13 Trend Squeeze Continuation</w:t>
      </w:r>
    </w:p>
    <w:p>
      <w:pPr>
        <w:spacing w:after="100"/>
      </w:pPr>
      <w:r>
        <w:rPr>
          <w:rFonts w:ascii="Aptos" w:hAnsi="Aptos"/>
          <w:b/>
          <w:color w:val="687386"/>
          <w:sz w:val="18"/>
        </w:rPr>
        <w:t xml:space="preserve">Strategy identifiers  </w:t>
      </w:r>
      <w:r>
        <w:rPr>
          <w:rFonts w:ascii="Aptos Mono" w:hAnsi="Aptos Mono"/>
          <w:color w:val="000000"/>
          <w:sz w:val="18"/>
        </w:rPr>
        <w:t>trend_squeeze_continuation_1h_v1</w:t>
      </w:r>
    </w:p>
    <w:p>
      <w:r>
        <w:rPr>
          <w:rFonts w:ascii="Aptos" w:hAnsi="Aptos"/>
          <w:color w:val="000000"/>
        </w:rPr>
        <w:t>This one hour continuation scanner requires three completed Bollinger Bands inside a Keltner Channel, followed by release. EMA20 and EMA50 define direction, five bar momentum must agree, the close must break the relevant Bollinger Band, and volume must exceed its 20 bar median.</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80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Decision clock</w:t>
            </w:r>
          </w:p>
        </w:tc>
        <w:tc>
          <w:tcPr>
            <w:tcW w:type="dxa" w:w="230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Required context</w:t>
            </w:r>
          </w:p>
        </w:tc>
        <w:tc>
          <w:tcPr>
            <w:tcW w:type="dxa" w:w="252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Entry contract</w:t>
            </w:r>
          </w:p>
        </w:tc>
        <w:tc>
          <w:tcPr>
            <w:tcW w:type="dxa" w:w="354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Protection and exit</w:t>
            </w:r>
          </w:p>
        </w:tc>
      </w:tr>
      <w:tr>
        <w:trPr>
          <w:cantSplit/>
        </w:trPr>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Closed 1h</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No explicit context frame</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Next 1h open</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Stop at 1.5 ATR target 2.5R and 12 hour horizon</w:t>
            </w:r>
          </w:p>
        </w:tc>
      </w:tr>
    </w:tbl>
    <w:p>
      <w:r>
        <w:rPr>
          <w:rFonts w:ascii="Aptos" w:hAnsi="Aptos"/>
          <w:b/>
          <w:color w:val="000000"/>
        </w:rPr>
        <w:t xml:space="preserve">Evidence. </w:t>
      </w:r>
      <w:r>
        <w:rPr>
          <w:rFonts w:ascii="Aptos" w:hAnsi="Aptos"/>
          <w:color w:val="000000"/>
        </w:rPr>
        <w:t>BTCUSD 1 trades and +33.1 bps; ETHUSD 0 trades and +0.0 bps.</w:t>
      </w:r>
    </w:p>
    <w:p>
      <w:r>
        <w:rPr>
          <w:rFonts w:ascii="Aptos" w:hAnsi="Aptos"/>
          <w:b/>
          <w:color w:val="000000"/>
        </w:rPr>
        <w:t xml:space="preserve">Current decision. </w:t>
      </w:r>
      <w:r>
        <w:rPr>
          <w:rFonts w:ascii="Aptos" w:hAnsi="Aptos"/>
          <w:color w:val="000000"/>
        </w:rPr>
        <w:t>This is a research candidate only. The single positive BTC trade does not establish edge. Extend to at least 90 days and preserve the same identifier and parameters for that diagnostic run.</w:t>
      </w:r>
    </w:p>
    <w:p>
      <w:pPr>
        <w:pStyle w:val="Heading2"/>
        <w:keepNext/>
      </w:pPr>
      <w:r>
        <w:t>14 Higher Timeframe Regime Continuation</w:t>
      </w:r>
    </w:p>
    <w:p>
      <w:pPr>
        <w:spacing w:after="100"/>
      </w:pPr>
      <w:r>
        <w:rPr>
          <w:rFonts w:ascii="Aptos" w:hAnsi="Aptos"/>
          <w:b/>
          <w:color w:val="687386"/>
          <w:sz w:val="18"/>
        </w:rPr>
        <w:t xml:space="preserve">Strategy identifiers  </w:t>
      </w:r>
      <w:r>
        <w:rPr>
          <w:rFonts w:ascii="Aptos Mono" w:hAnsi="Aptos Mono"/>
          <w:color w:val="000000"/>
          <w:sz w:val="18"/>
        </w:rPr>
        <w:t>htf_regime_continuation_15m_v1  |  htf_regime_continuation_15m_v2</w:t>
      </w:r>
    </w:p>
    <w:p>
      <w:r>
        <w:rPr>
          <w:rFonts w:ascii="Aptos" w:hAnsi="Aptos"/>
          <w:color w:val="000000"/>
        </w:rPr>
        <w:t>These are the intended telescope driven continuation lanes. Version 1 requires trade lake weekly VWAP. Version 2 uses weekly OHLC structure so official higher timeframe candles can classify the week without inventing VWAP. Both combine weekly direction, daily EMA21 EMA50 EMA200, daily and four hour MACD and RSI labels, one hour structure, and a 15 minute reclaim. Permission must be frozen from the exact bound 4h and 1d rows.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80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Decision clock</w:t>
            </w:r>
          </w:p>
        </w:tc>
        <w:tc>
          <w:tcPr>
            <w:tcW w:type="dxa" w:w="230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Required context</w:t>
            </w:r>
          </w:p>
        </w:tc>
        <w:tc>
          <w:tcPr>
            <w:tcW w:type="dxa" w:w="252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Entry contract</w:t>
            </w:r>
          </w:p>
        </w:tc>
        <w:tc>
          <w:tcPr>
            <w:tcW w:type="dxa" w:w="354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Protection and exit</w:t>
            </w:r>
          </w:p>
        </w:tc>
      </w:tr>
      <w:tr>
        <w:trPr>
          <w:cantSplit/>
        </w:trPr>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Closed 15m</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Bound 4h and 1d plus weekly classification</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Next 15m open</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No fixed target exit on higher timeframe invalidation or bounded holding policy</w:t>
            </w:r>
          </w:p>
        </w:tc>
      </w:tr>
    </w:tbl>
    <w:p>
      <w:r>
        <w:rPr>
          <w:rFonts w:ascii="Aptos" w:hAnsi="Aptos"/>
          <w:b/>
          <w:color w:val="000000"/>
        </w:rPr>
        <w:t xml:space="preserve">Evidence. </w:t>
      </w:r>
      <w:r>
        <w:rPr>
          <w:rFonts w:ascii="Aptos" w:hAnsi="Aptos"/>
          <w:color w:val="000000"/>
        </w:rPr>
        <w:t>Both symbols were not evaluable. The artifact contained only five BTC and six ETH canonical daily bars, far below the daily EMA200 contract.</w:t>
      </w:r>
    </w:p>
    <w:p>
      <w:r>
        <w:rPr>
          <w:rFonts w:ascii="Aptos" w:hAnsi="Aptos"/>
          <w:b/>
          <w:color w:val="000000"/>
        </w:rPr>
        <w:t xml:space="preserve">Current decision. </w:t>
      </w:r>
      <w:r>
        <w:rPr>
          <w:rFonts w:ascii="Aptos" w:hAnsi="Aptos"/>
          <w:color w:val="000000"/>
        </w:rPr>
        <w:t>Keep Version 2 as the intended hot strategy but do not judge it until the bound canonical daily history reaches the frozen warmup. Version 1 remains unavailable until complete trade lake weekly VWAP exists.</w:t>
      </w:r>
    </w:p>
    <w:p>
      <w:r>
        <w:br w:type="page"/>
      </w:r>
    </w:p>
    <w:p>
      <w:pPr>
        <w:pStyle w:val="Heading2"/>
        <w:keepNext/>
      </w:pPr>
      <w:r>
        <w:t>15 MACD Hidden Divergence</w:t>
      </w:r>
    </w:p>
    <w:p>
      <w:pPr>
        <w:spacing w:after="100"/>
      </w:pPr>
      <w:r>
        <w:rPr>
          <w:rFonts w:ascii="Aptos" w:hAnsi="Aptos"/>
          <w:b/>
          <w:color w:val="687386"/>
          <w:sz w:val="18"/>
        </w:rPr>
        <w:t xml:space="preserve">Strategy identifiers  </w:t>
      </w:r>
      <w:r>
        <w:rPr>
          <w:rFonts w:ascii="Aptos Mono" w:hAnsi="Aptos Mono"/>
          <w:color w:val="000000"/>
          <w:sz w:val="18"/>
        </w:rPr>
        <w:t>macd_hidden_div_15m_v1</w:t>
      </w:r>
    </w:p>
    <w:p>
      <w:r>
        <w:rPr>
          <w:rFonts w:ascii="Aptos" w:hAnsi="Aptos"/>
          <w:color w:val="000000"/>
        </w:rPr>
        <w:t>This continuation experiment compares the MACD line at two strict three by three price swing anchors. A bullish episode requires a higher price low and a lower MACD low. A bearish episode requires a lower price high and a higher MACD high. The second pivot may fire only at its confirmation close, and each swing pair receives one episode identity.</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80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Decision clock</w:t>
            </w:r>
          </w:p>
        </w:tc>
        <w:tc>
          <w:tcPr>
            <w:tcW w:type="dxa" w:w="230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Required context</w:t>
            </w:r>
          </w:p>
        </w:tc>
        <w:tc>
          <w:tcPr>
            <w:tcW w:type="dxa" w:w="252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Entry contract</w:t>
            </w:r>
          </w:p>
        </w:tc>
        <w:tc>
          <w:tcPr>
            <w:tcW w:type="dxa" w:w="354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Protection and exit</w:t>
            </w:r>
          </w:p>
        </w:tc>
      </w:tr>
      <w:tr>
        <w:trPr>
          <w:cantSplit/>
        </w:trPr>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Closed 15m</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None</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Next 15m open</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Stop at the second pivot target 2R and 12 hour horizon</w:t>
            </w:r>
          </w:p>
        </w:tc>
      </w:tr>
    </w:tbl>
    <w:p>
      <w:r>
        <w:rPr>
          <w:rFonts w:ascii="Aptos" w:hAnsi="Aptos"/>
          <w:b/>
          <w:color w:val="000000"/>
        </w:rPr>
        <w:t xml:space="preserve">Evidence. </w:t>
      </w:r>
      <w:r>
        <w:rPr>
          <w:rFonts w:ascii="Aptos" w:hAnsi="Aptos"/>
          <w:color w:val="000000"/>
        </w:rPr>
        <w:t>BTCUSD 59 trades and -1419.0 bps; ETHUSD 51 trades and -917.3 bps.</w:t>
      </w:r>
    </w:p>
    <w:p>
      <w:r>
        <w:rPr>
          <w:rFonts w:ascii="Aptos" w:hAnsi="Aptos"/>
          <w:b/>
          <w:color w:val="000000"/>
        </w:rPr>
        <w:t xml:space="preserve">Current decision. </w:t>
      </w:r>
      <w:r>
        <w:rPr>
          <w:rFonts w:ascii="Aptos" w:hAnsi="Aptos"/>
          <w:color w:val="000000"/>
        </w:rPr>
        <w:t>Keep off. It is the largest negative next open family in the current artifact. Do not add it as confluence to the higher timeframe continuation lane.</w:t>
      </w:r>
    </w:p>
    <w:p>
      <w:pPr>
        <w:pStyle w:val="Heading1"/>
        <w:keepNext/>
      </w:pPr>
      <w:r>
        <w:t>Routed Structure Probe</w:t>
      </w:r>
    </w:p>
    <w:p>
      <w:pPr>
        <w:pStyle w:val="Heading2"/>
        <w:keepNext/>
      </w:pPr>
      <w:r>
        <w:t>16 Structure Bounce Route Probe</w:t>
      </w:r>
    </w:p>
    <w:p>
      <w:pPr>
        <w:spacing w:after="100"/>
      </w:pPr>
      <w:r>
        <w:rPr>
          <w:rFonts w:ascii="Aptos" w:hAnsi="Aptos"/>
          <w:b/>
          <w:color w:val="687386"/>
          <w:sz w:val="18"/>
        </w:rPr>
        <w:t xml:space="preserve">Strategy identifiers  </w:t>
      </w:r>
      <w:r>
        <w:rPr>
          <w:rFonts w:ascii="Aptos Mono" w:hAnsi="Aptos Mono"/>
          <w:color w:val="000000"/>
          <w:sz w:val="18"/>
        </w:rPr>
        <w:t>structure_bounce_route_probe_v2</w:t>
      </w:r>
    </w:p>
    <w:p>
      <w:r>
        <w:rPr>
          <w:rFonts w:ascii="Aptos" w:hAnsi="Aptos"/>
          <w:color w:val="000000"/>
        </w:rPr>
        <w:t>This five minute probe builds a completed four hour structure map from five minute children and looks for support resistance order block and liquidity zone reactions. A plan needs a rejection wick an approach within 0.5 percent and minimum confidence. Production gates then inspect stochastic OBV regime countertrend confluence fees and expected value before choosing a maker or taker route.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80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Decision clock</w:t>
            </w:r>
          </w:p>
        </w:tc>
        <w:tc>
          <w:tcPr>
            <w:tcW w:type="dxa" w:w="230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Required context</w:t>
            </w:r>
          </w:p>
        </w:tc>
        <w:tc>
          <w:tcPr>
            <w:tcW w:type="dxa" w:w="252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Entry contract</w:t>
            </w:r>
          </w:p>
        </w:tc>
        <w:tc>
          <w:tcPr>
            <w:tcW w:type="dxa" w:w="354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Protection and exit</w:t>
            </w:r>
          </w:p>
        </w:tc>
      </w:tr>
      <w:tr>
        <w:trPr>
          <w:cantSplit/>
        </w:trPr>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Closed 5m</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Completed 4h structure map</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Route policy chooses maker or taker</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Stop near 2.5 ATR clamped to 0.55 through 0.95 percent target 2.5R and 24 hour horizon</w:t>
            </w:r>
          </w:p>
        </w:tc>
      </w:tr>
    </w:tbl>
    <w:p>
      <w:r>
        <w:rPr>
          <w:rFonts w:ascii="Aptos" w:hAnsi="Aptos"/>
          <w:b/>
          <w:color w:val="000000"/>
        </w:rPr>
        <w:t xml:space="preserve">Evidence. </w:t>
      </w:r>
      <w:r>
        <w:rPr>
          <w:rFonts w:ascii="Aptos" w:hAnsi="Aptos"/>
          <w:color w:val="000000"/>
        </w:rPr>
        <w:t>BTCUSD 4 setup signals; ETHUSD 5 setup signals.</w:t>
      </w:r>
    </w:p>
    <w:p>
      <w:r>
        <w:rPr>
          <w:rFonts w:ascii="Aptos" w:hAnsi="Aptos"/>
          <w:b/>
          <w:color w:val="000000"/>
        </w:rPr>
        <w:t xml:space="preserve">Current decision. </w:t>
      </w:r>
      <w:r>
        <w:rPr>
          <w:rFonts w:ascii="Aptos" w:hAnsi="Aptos"/>
          <w:color w:val="000000"/>
        </w:rPr>
        <w:t>Treat the current counts as setup evidence only. Replay the route policy with actual lane consumed Delta order book data before booking any P and L.</w:t>
      </w:r>
    </w:p>
    <w:p>
      <w:pPr>
        <w:pStyle w:val="Heading1"/>
        <w:keepNext/>
      </w:pPr>
      <w:r>
        <w:t>Consolidated Next Open Evidence</w:t>
      </w:r>
    </w:p>
    <w:p>
      <w:pPr>
        <w:pStyle w:val="Heading2"/>
        <w:keepNext/>
      </w:pPr>
      <w:r>
        <w:t>BTCUSD</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2376"/>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Scanner family</w:t>
            </w:r>
          </w:p>
        </w:tc>
        <w:tc>
          <w:tcPr>
            <w:tcW w:type="dxa" w:w="64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N</w:t>
            </w:r>
          </w:p>
        </w:tc>
        <w:tc>
          <w:tcPr>
            <w:tcW w:type="dxa" w:w="79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Wins</w:t>
            </w:r>
          </w:p>
        </w:tc>
        <w:tc>
          <w:tcPr>
            <w:tcW w:type="dxa" w:w="115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Net</w:t>
            </w:r>
          </w:p>
        </w:tc>
        <w:tc>
          <w:tcPr>
            <w:tcW w:type="dxa" w:w="115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Average</w:t>
            </w:r>
          </w:p>
        </w:tc>
        <w:tc>
          <w:tcPr>
            <w:tcW w:type="dxa" w:w="403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Most common failed gates</w:t>
            </w:r>
          </w:p>
        </w:tc>
      </w:tr>
      <w:tr>
        <w:trPr>
          <w:cantSplit/>
        </w:trPr>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Range observer V3</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1</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0</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-51.0 bps</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-51.0 bps</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prior_range_not_broken 349, session_closed 316</w:t>
            </w:r>
          </w:p>
        </w:tc>
      </w:tr>
      <w:tr>
        <w:trPr>
          <w:cantSplit/>
        </w:trPr>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Range observer V4</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1</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0</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-51.0 bps</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-51.0 bps</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prior_range_not_broken 349, session_closed 316</w:t>
            </w:r>
          </w:p>
        </w:tc>
      </w:tr>
      <w:tr>
        <w:trPr>
          <w:cantSplit/>
        </w:trPr>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Structure break V2</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2</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0</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-182.1 bps</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-91.1 bps</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confirmed_swing_not_broken 2161, projected_net_below_threshold 1982</w:t>
            </w:r>
          </w:p>
        </w:tc>
      </w:tr>
      <w:tr>
        <w:trPr>
          <w:cantSplit/>
        </w:trPr>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Structure break V3</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2</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0</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-182.1 bps</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-91.1 bps</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confirmed_swing_not_broken 2161, projected_net_below_threshold 1982</w:t>
            </w:r>
          </w:p>
        </w:tc>
      </w:tr>
      <w:tr>
        <w:trPr>
          <w:cantSplit/>
        </w:trPr>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Swing AVWAP reclaim</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35</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14</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-416.1 bps</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-11.9 bps</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no_reclaim_setup 2235, avwap_not_reclaimed 2184</w:t>
            </w:r>
          </w:p>
        </w:tc>
      </w:tr>
      <w:tr>
        <w:trPr>
          <w:cantSplit/>
        </w:trPr>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Session continuation</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18</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4</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-318.9 bps</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-17.7 bps</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no_continuation_setup 2254, session_closed 1907</w:t>
            </w:r>
          </w:p>
        </w:tc>
      </w:tr>
      <w:tr>
        <w:trPr>
          <w:cantSplit/>
        </w:trPr>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Liquidity sweep</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51</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15</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-987.1 bps</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-19.4 bps</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no_sweep_reversal_setup 2221, sweep_not_rejected 2074</w:t>
            </w:r>
          </w:p>
        </w:tc>
      </w:tr>
      <w:tr>
        <w:trPr>
          <w:cantSplit/>
        </w:trPr>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MACD hidden divergence</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59</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16</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-1419.0 bps</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-24.1 bps</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hidden_divergence_not_confirmed 2271, no_hidden_divergence_setup 2271</w:t>
            </w:r>
          </w:p>
        </w:tc>
      </w:tr>
      <w:tr>
        <w:trPr>
          <w:cantSplit/>
        </w:trPr>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Trend pullback</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2</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0</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-154.1 bps</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-77.1 bps</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no_trend_pullback_setup 434, pullback_not_present 296</w:t>
            </w:r>
          </w:p>
        </w:tc>
      </w:tr>
      <w:tr>
        <w:trPr>
          <w:cantSplit/>
        </w:trPr>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Trend squeeze</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1</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1</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+33.1 bps</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+33.1 bps</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no_trend_squeeze_setup 435, squeeze_not_released 431</w:t>
            </w:r>
          </w:p>
        </w:tc>
      </w:tr>
    </w:tbl>
    <w:p>
      <w:r>
        <w:br w:type="page"/>
      </w:r>
    </w:p>
    <w:p>
      <w:pPr>
        <w:pStyle w:val="Heading1"/>
        <w:keepNext/>
      </w:pPr>
      <w:r>
        <w:t>Consolidated Next Open Evidence</w:t>
      </w:r>
    </w:p>
    <w:p>
      <w:pPr>
        <w:pStyle w:val="Heading2"/>
        <w:keepNext/>
      </w:pPr>
      <w:r>
        <w:t>ETHUSD</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2376"/>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Scanner family</w:t>
            </w:r>
          </w:p>
        </w:tc>
        <w:tc>
          <w:tcPr>
            <w:tcW w:type="dxa" w:w="64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N</w:t>
            </w:r>
          </w:p>
        </w:tc>
        <w:tc>
          <w:tcPr>
            <w:tcW w:type="dxa" w:w="79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Wins</w:t>
            </w:r>
          </w:p>
        </w:tc>
        <w:tc>
          <w:tcPr>
            <w:tcW w:type="dxa" w:w="115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Net</w:t>
            </w:r>
          </w:p>
        </w:tc>
        <w:tc>
          <w:tcPr>
            <w:tcW w:type="dxa" w:w="115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Average</w:t>
            </w:r>
          </w:p>
        </w:tc>
        <w:tc>
          <w:tcPr>
            <w:tcW w:type="dxa" w:w="403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Most common failed gates</w:t>
            </w:r>
          </w:p>
        </w:tc>
      </w:tr>
      <w:tr>
        <w:trPr>
          <w:cantSplit/>
        </w:trPr>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Range observer V3</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1</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1</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+76.7 bps</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+76.7 bps</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prior_range_not_broken 355, session_closed 314</w:t>
            </w:r>
          </w:p>
        </w:tc>
      </w:tr>
      <w:tr>
        <w:trPr>
          <w:cantSplit/>
        </w:trPr>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Range observer V4</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1</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1</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+76.7 bps</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+76.7 bps</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prior_range_not_broken 355, session_closed 314</w:t>
            </w:r>
          </w:p>
        </w:tc>
      </w:tr>
      <w:tr>
        <w:trPr>
          <w:cantSplit/>
        </w:trPr>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Structure break V2</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0</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0</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+0.0 bps</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not scored</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confirmed_swing_not_broken 2159, projected_net_below_threshold 2030</w:t>
            </w:r>
          </w:p>
        </w:tc>
      </w:tr>
      <w:tr>
        <w:trPr>
          <w:cantSplit/>
        </w:trPr>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Structure break V3</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0</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0</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+0.0 bps</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not scored</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confirmed_swing_not_broken 2159, projected_net_below_threshold 2030</w:t>
            </w:r>
          </w:p>
        </w:tc>
      </w:tr>
      <w:tr>
        <w:trPr>
          <w:cantSplit/>
        </w:trPr>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Swing AVWAP reclaim</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60</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23</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-699.2 bps</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-11.7 bps</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no_reclaim_setup 2190, avwap_not_reclaimed 2113</w:t>
            </w:r>
          </w:p>
        </w:tc>
      </w:tr>
      <w:tr>
        <w:trPr>
          <w:cantSplit/>
        </w:trPr>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Session continuation</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15</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4</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-304.1 bps</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-20.3 bps</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no_continuation_setup 2252, session_closed 1901</w:t>
            </w:r>
          </w:p>
        </w:tc>
      </w:tr>
      <w:tr>
        <w:trPr>
          <w:cantSplit/>
        </w:trPr>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Liquidity sweep</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71</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25</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-970.9 bps</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-13.7 bps</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no_sweep_reversal_setup 2182, sweep_not_rejected 2055</w:t>
            </w:r>
          </w:p>
        </w:tc>
      </w:tr>
      <w:tr>
        <w:trPr>
          <w:cantSplit/>
        </w:trPr>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MACD hidden divergence</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51</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19</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-917.3 bps</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-18.0 bps</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hidden_divergence_not_confirmed 2278, no_hidden_divergence_setup 2278</w:t>
            </w:r>
          </w:p>
        </w:tc>
      </w:tr>
      <w:tr>
        <w:trPr>
          <w:cantSplit/>
        </w:trPr>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Trend pullback</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2</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0</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-183.7 bps</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-91.9 bps</w:t>
            </w:r>
          </w:p>
        </w:tc>
        <w:tc>
          <w:tcPr>
            <w:tcW w:type="dxa" w:w="169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no_trend_pullback_setup 430, regime_route_blocked 327</w:t>
            </w:r>
          </w:p>
        </w:tc>
      </w:tr>
      <w:tr>
        <w:trPr>
          <w:cantSplit/>
        </w:trPr>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Trend squeeze</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0</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0</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+0.0 bps</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not scored</w:t>
            </w:r>
          </w:p>
        </w:tc>
        <w:tc>
          <w:tcPr>
            <w:tcW w:type="dxa" w:w="1694"/>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no_trend_squeeze_setup 433, squeeze_not_released 426</w:t>
            </w:r>
          </w:p>
        </w:tc>
      </w:tr>
    </w:tbl>
    <w:p>
      <w:r>
        <w:rPr>
          <w:rFonts w:ascii="Aptos" w:hAnsi="Aptos"/>
          <w:color w:val="000000"/>
        </w:rPr>
        <w:t>Rows with zero trades are retained because they distinguish a quiet contract from missing data. Duplicate Version 2 and Version 3 or Version 3 and Version 4 outcomes are expected where the later version changed episode bookkeeping without changing the eligible fire set on this window.</w:t>
      </w:r>
    </w:p>
    <w:p>
      <w:r>
        <w:br w:type="page"/>
      </w:r>
    </w:p>
    <w:p>
      <w:pPr>
        <w:pStyle w:val="Heading1"/>
        <w:keepNext/>
      </w:pPr>
      <w:r>
        <w:t>Quote Scanner Arm Evidence</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338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Scanner family</w:t>
            </w:r>
          </w:p>
        </w:tc>
        <w:tc>
          <w:tcPr>
            <w:tcW w:type="dxa" w:w="1037"/>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BTC arms</w:t>
            </w:r>
          </w:p>
        </w:tc>
        <w:tc>
          <w:tcPr>
            <w:tcW w:type="dxa" w:w="1037"/>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ETH arms</w:t>
            </w:r>
          </w:p>
        </w:tc>
        <w:tc>
          <w:tcPr>
            <w:tcW w:type="dxa" w:w="151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Entry clock</w:t>
            </w:r>
          </w:p>
        </w:tc>
        <w:tc>
          <w:tcPr>
            <w:tcW w:type="dxa" w:w="318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Evidence boundary</w:t>
            </w:r>
          </w:p>
        </w:tc>
      </w:tr>
      <w:tr>
        <w:trPr>
          <w:cantSplit/>
        </w:trPr>
        <w:tc>
          <w:tcPr>
            <w:tcW w:type="dxa" w:w="203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Squeeze V3</w:t>
            </w:r>
          </w:p>
        </w:tc>
        <w:tc>
          <w:tcPr>
            <w:tcW w:type="dxa" w:w="203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35</w:t>
            </w:r>
          </w:p>
        </w:tc>
        <w:tc>
          <w:tcPr>
            <w:tcW w:type="dxa" w:w="203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33</w:t>
            </w:r>
          </w:p>
        </w:tc>
        <w:tc>
          <w:tcPr>
            <w:tcW w:type="dxa" w:w="203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quote_hold</w:t>
            </w:r>
          </w:p>
        </w:tc>
        <w:tc>
          <w:tcPr>
            <w:tcW w:type="dxa" w:w="203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BBO and approval not scored</w:t>
            </w:r>
          </w:p>
        </w:tc>
      </w:tr>
      <w:tr>
        <w:trPr>
          <w:cantSplit/>
        </w:trPr>
        <w:tc>
          <w:tcPr>
            <w:tcW w:type="dxa" w:w="203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Squeeze V4</w:t>
            </w:r>
          </w:p>
        </w:tc>
        <w:tc>
          <w:tcPr>
            <w:tcW w:type="dxa" w:w="203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86</w:t>
            </w:r>
          </w:p>
        </w:tc>
        <w:tc>
          <w:tcPr>
            <w:tcW w:type="dxa" w:w="203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75</w:t>
            </w:r>
          </w:p>
        </w:tc>
        <w:tc>
          <w:tcPr>
            <w:tcW w:type="dxa" w:w="203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quote_hold</w:t>
            </w:r>
          </w:p>
        </w:tc>
        <w:tc>
          <w:tcPr>
            <w:tcW w:type="dxa" w:w="203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BBO and approval not scored</w:t>
            </w:r>
          </w:p>
        </w:tc>
      </w:tr>
      <w:tr>
        <w:trPr>
          <w:cantSplit/>
        </w:trPr>
        <w:tc>
          <w:tcPr>
            <w:tcW w:type="dxa" w:w="203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Tick accepted breakout</w:t>
            </w:r>
          </w:p>
        </w:tc>
        <w:tc>
          <w:tcPr>
            <w:tcW w:type="dxa" w:w="203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123</w:t>
            </w:r>
          </w:p>
        </w:tc>
        <w:tc>
          <w:tcPr>
            <w:tcW w:type="dxa" w:w="203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124</w:t>
            </w:r>
          </w:p>
        </w:tc>
        <w:tc>
          <w:tcPr>
            <w:tcW w:type="dxa" w:w="203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quote_hold</w:t>
            </w:r>
          </w:p>
        </w:tc>
        <w:tc>
          <w:tcPr>
            <w:tcW w:type="dxa" w:w="203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BBO and approval not scored</w:t>
            </w:r>
          </w:p>
        </w:tc>
      </w:tr>
      <w:tr>
        <w:trPr>
          <w:cantSplit/>
        </w:trPr>
        <w:tc>
          <w:tcPr>
            <w:tcW w:type="dxa" w:w="203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Range realtime V1</w:t>
            </w:r>
          </w:p>
        </w:tc>
        <w:tc>
          <w:tcPr>
            <w:tcW w:type="dxa" w:w="203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2</w:t>
            </w:r>
          </w:p>
        </w:tc>
        <w:tc>
          <w:tcPr>
            <w:tcW w:type="dxa" w:w="203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2</w:t>
            </w:r>
          </w:p>
        </w:tc>
        <w:tc>
          <w:tcPr>
            <w:tcW w:type="dxa" w:w="203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quote_hold</w:t>
            </w:r>
          </w:p>
        </w:tc>
        <w:tc>
          <w:tcPr>
            <w:tcW w:type="dxa" w:w="203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BBO and approval not scored</w:t>
            </w:r>
          </w:p>
        </w:tc>
      </w:tr>
      <w:tr>
        <w:trPr>
          <w:cantSplit/>
        </w:trPr>
        <w:tc>
          <w:tcPr>
            <w:tcW w:type="dxa" w:w="203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Range realtime V2</w:t>
            </w:r>
          </w:p>
        </w:tc>
        <w:tc>
          <w:tcPr>
            <w:tcW w:type="dxa" w:w="203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14</w:t>
            </w:r>
          </w:p>
        </w:tc>
        <w:tc>
          <w:tcPr>
            <w:tcW w:type="dxa" w:w="203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18</w:t>
            </w:r>
          </w:p>
        </w:tc>
        <w:tc>
          <w:tcPr>
            <w:tcW w:type="dxa" w:w="203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quote_hold</w:t>
            </w:r>
          </w:p>
        </w:tc>
        <w:tc>
          <w:tcPr>
            <w:tcW w:type="dxa" w:w="203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BBO and approval not scored</w:t>
            </w:r>
          </w:p>
        </w:tc>
      </w:tr>
      <w:tr>
        <w:trPr>
          <w:cantSplit/>
        </w:trPr>
        <w:tc>
          <w:tcPr>
            <w:tcW w:type="dxa" w:w="203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Structure realtime V1</w:t>
            </w:r>
          </w:p>
        </w:tc>
        <w:tc>
          <w:tcPr>
            <w:tcW w:type="dxa" w:w="203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9</w:t>
            </w:r>
          </w:p>
        </w:tc>
        <w:tc>
          <w:tcPr>
            <w:tcW w:type="dxa" w:w="203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4</w:t>
            </w:r>
          </w:p>
        </w:tc>
        <w:tc>
          <w:tcPr>
            <w:tcW w:type="dxa" w:w="203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quote_hold</w:t>
            </w:r>
          </w:p>
        </w:tc>
        <w:tc>
          <w:tcPr>
            <w:tcW w:type="dxa" w:w="203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BBO and approval not scored</w:t>
            </w:r>
          </w:p>
        </w:tc>
      </w:tr>
      <w:tr>
        <w:trPr>
          <w:cantSplit/>
        </w:trPr>
        <w:tc>
          <w:tcPr>
            <w:tcW w:type="dxa" w:w="203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Structure realtime V2</w:t>
            </w:r>
          </w:p>
        </w:tc>
        <w:tc>
          <w:tcPr>
            <w:tcW w:type="dxa" w:w="203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2</w:t>
            </w:r>
          </w:p>
        </w:tc>
        <w:tc>
          <w:tcPr>
            <w:tcW w:type="dxa" w:w="203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1</w:t>
            </w:r>
          </w:p>
        </w:tc>
        <w:tc>
          <w:tcPr>
            <w:tcW w:type="dxa" w:w="203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quote_hold</w:t>
            </w:r>
          </w:p>
        </w:tc>
        <w:tc>
          <w:tcPr>
            <w:tcW w:type="dxa" w:w="203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BBO and approval not scored</w:t>
            </w:r>
          </w:p>
        </w:tc>
      </w:tr>
      <w:tr>
        <w:trPr>
          <w:cantSplit/>
        </w:trPr>
        <w:tc>
          <w:tcPr>
            <w:tcW w:type="dxa" w:w="203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Session realtime V1</w:t>
            </w:r>
          </w:p>
        </w:tc>
        <w:tc>
          <w:tcPr>
            <w:tcW w:type="dxa" w:w="203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126</w:t>
            </w:r>
          </w:p>
        </w:tc>
        <w:tc>
          <w:tcPr>
            <w:tcW w:type="dxa" w:w="203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109</w:t>
            </w:r>
          </w:p>
        </w:tc>
        <w:tc>
          <w:tcPr>
            <w:tcW w:type="dxa" w:w="203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quote_hold</w:t>
            </w:r>
          </w:p>
        </w:tc>
        <w:tc>
          <w:tcPr>
            <w:tcW w:type="dxa" w:w="203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BBO and approval not scored</w:t>
            </w:r>
          </w:p>
        </w:tc>
      </w:tr>
      <w:tr>
        <w:trPr>
          <w:cantSplit/>
        </w:trPr>
        <w:tc>
          <w:tcPr>
            <w:tcW w:type="dxa" w:w="203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Session realtime V2</w:t>
            </w:r>
          </w:p>
        </w:tc>
        <w:tc>
          <w:tcPr>
            <w:tcW w:type="dxa" w:w="203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120</w:t>
            </w:r>
          </w:p>
        </w:tc>
        <w:tc>
          <w:tcPr>
            <w:tcW w:type="dxa" w:w="203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99</w:t>
            </w:r>
          </w:p>
        </w:tc>
        <w:tc>
          <w:tcPr>
            <w:tcW w:type="dxa" w:w="203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quote_hold</w:t>
            </w:r>
          </w:p>
        </w:tc>
        <w:tc>
          <w:tcPr>
            <w:tcW w:type="dxa" w:w="203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BBO and approval not scored</w:t>
            </w:r>
          </w:p>
        </w:tc>
      </w:tr>
      <w:tr>
        <w:trPr>
          <w:cantSplit/>
        </w:trPr>
        <w:tc>
          <w:tcPr>
            <w:tcW w:type="dxa" w:w="203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HTF structure realtime</w:t>
            </w:r>
          </w:p>
        </w:tc>
        <w:tc>
          <w:tcPr>
            <w:tcW w:type="dxa" w:w="203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7</w:t>
            </w:r>
          </w:p>
        </w:tc>
        <w:tc>
          <w:tcPr>
            <w:tcW w:type="dxa" w:w="203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6</w:t>
            </w:r>
          </w:p>
        </w:tc>
        <w:tc>
          <w:tcPr>
            <w:tcW w:type="dxa" w:w="203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center"/>
            </w:pPr>
            <w:r/>
            <w:r>
              <w:rPr>
                <w:rFonts w:ascii="Aptos" w:hAnsi="Aptos"/>
                <w:color w:val="000000"/>
                <w:sz w:val="16"/>
              </w:rPr>
              <w:t>quote_hold</w:t>
            </w:r>
          </w:p>
        </w:tc>
        <w:tc>
          <w:tcPr>
            <w:tcW w:type="dxa" w:w="203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BBO and approval not scored</w:t>
            </w:r>
          </w:p>
        </w:tc>
      </w:tr>
    </w:tbl>
    <w:p>
      <w:r>
        <w:rPr>
          <w:rFonts w:ascii="Aptos" w:hAnsi="Aptos"/>
          <w:color w:val="000000"/>
        </w:rPr>
        <w:t>The arm table is the direct answer to a scanner drought question. A nonzero arm count means the closed bar logic did fire. The missing stage is the exact sequence of BBO observations that either confirms the hold or resets it, followed by the same cost size and risk decision used in shadow.</w:t>
      </w:r>
    </w:p>
    <w:p>
      <w:r>
        <w:br w:type="page"/>
      </w:r>
    </w:p>
    <w:p>
      <w:pPr>
        <w:pStyle w:val="Heading1"/>
        <w:keepNext/>
      </w:pPr>
      <w:r>
        <w:t>Revival Decision Matrix</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52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Scanner family</w:t>
            </w:r>
          </w:p>
        </w:tc>
        <w:tc>
          <w:tcPr>
            <w:tcW w:type="dxa" w:w="302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Present evidence</w:t>
            </w:r>
          </w:p>
        </w:tc>
        <w:tc>
          <w:tcPr>
            <w:tcW w:type="dxa" w:w="3096"/>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Next proof</w:t>
            </w:r>
          </w:p>
        </w:tc>
        <w:tc>
          <w:tcPr>
            <w:tcW w:type="dxa" w:w="151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Current status</w:t>
            </w:r>
          </w:p>
        </w:tc>
      </w:tr>
      <w:tr>
        <w:trPr>
          <w:cantSplit/>
        </w:trPr>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Higher timeframe structure realtime</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Selective arms on both symbols</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Lane BBO plus kernel approval parity</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First quote candidate</w:t>
            </w:r>
          </w:p>
        </w:tc>
      </w:tr>
      <w:tr>
        <w:trPr>
          <w:cantSplit/>
        </w:trPr>
        <w:tc>
          <w:tcPr>
            <w:tcW w:type="dxa" w:w="2541"/>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Range realtime Version 2</w:t>
            </w:r>
          </w:p>
        </w:tc>
        <w:tc>
          <w:tcPr>
            <w:tcW w:type="dxa" w:w="2541"/>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Moderate arm count</w:t>
            </w:r>
          </w:p>
        </w:tc>
        <w:tc>
          <w:tcPr>
            <w:tcW w:type="dxa" w:w="2541"/>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Lane BBO plus post cost conversion</w:t>
            </w:r>
          </w:p>
        </w:tc>
        <w:tc>
          <w:tcPr>
            <w:tcW w:type="dxa" w:w="2541"/>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Second quote candidate</w:t>
            </w:r>
          </w:p>
        </w:tc>
      </w:tr>
      <w:tr>
        <w:trPr>
          <w:cantSplit/>
        </w:trPr>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Trend squeeze one hour</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One positive BTC trade</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At least 90 canonical days</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Research only</w:t>
            </w:r>
          </w:p>
        </w:tc>
      </w:tr>
      <w:tr>
        <w:trPr>
          <w:cantSplit/>
        </w:trPr>
        <w:tc>
          <w:tcPr>
            <w:tcW w:type="dxa" w:w="2541"/>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Range observer Version 4</w:t>
            </w:r>
          </w:p>
        </w:tc>
        <w:tc>
          <w:tcPr>
            <w:tcW w:type="dxa" w:w="2541"/>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One trade per symbol with opposite signs</w:t>
            </w:r>
          </w:p>
        </w:tc>
        <w:tc>
          <w:tcPr>
            <w:tcW w:type="dxa" w:w="2541"/>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At least 90 canonical days</w:t>
            </w:r>
          </w:p>
        </w:tc>
        <w:tc>
          <w:tcPr>
            <w:tcW w:type="dxa" w:w="2541"/>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Research only</w:t>
            </w:r>
          </w:p>
        </w:tc>
      </w:tr>
      <w:tr>
        <w:trPr>
          <w:cantSplit/>
        </w:trPr>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Higher timeframe regime Version 2</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Context warmup incomplete</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Canonical daily EMA200 history</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Intended hot lane but not judged</w:t>
            </w:r>
          </w:p>
        </w:tc>
      </w:tr>
      <w:tr>
        <w:trPr>
          <w:cantSplit/>
        </w:trPr>
        <w:tc>
          <w:tcPr>
            <w:tcW w:type="dxa" w:w="2541"/>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AVWAP reclaim Version 1</w:t>
            </w:r>
          </w:p>
        </w:tc>
        <w:tc>
          <w:tcPr>
            <w:tcW w:type="dxa" w:w="2541"/>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95 trades combined and negative</w:t>
            </w:r>
          </w:p>
        </w:tc>
        <w:tc>
          <w:tcPr>
            <w:tcW w:type="dxa" w:w="2541"/>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New Version 2 contract</w:t>
            </w:r>
          </w:p>
        </w:tc>
        <w:tc>
          <w:tcPr>
            <w:tcW w:type="dxa" w:w="2541"/>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Keep off</w:t>
            </w:r>
          </w:p>
        </w:tc>
      </w:tr>
      <w:tr>
        <w:trPr>
          <w:cantSplit/>
        </w:trPr>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Session continuation</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33 trades combined and negative</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New claim with larger geometry</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Keep off</w:t>
            </w:r>
          </w:p>
        </w:tc>
      </w:tr>
      <w:tr>
        <w:trPr>
          <w:cantSplit/>
        </w:trPr>
        <w:tc>
          <w:tcPr>
            <w:tcW w:type="dxa" w:w="2541"/>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Liquidity sweep</w:t>
            </w:r>
          </w:p>
        </w:tc>
        <w:tc>
          <w:tcPr>
            <w:tcW w:type="dxa" w:w="2541"/>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122 trades combined and negative</w:t>
            </w:r>
          </w:p>
        </w:tc>
        <w:tc>
          <w:tcPr>
            <w:tcW w:type="dxa" w:w="2541"/>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New confirmation contract</w:t>
            </w:r>
          </w:p>
        </w:tc>
        <w:tc>
          <w:tcPr>
            <w:tcW w:type="dxa" w:w="2541"/>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Keep off</w:t>
            </w:r>
          </w:p>
        </w:tc>
      </w:tr>
      <w:tr>
        <w:trPr>
          <w:cantSplit/>
        </w:trPr>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MACD hidden divergence</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110 trades combined and negative</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No current revival</w:t>
            </w:r>
          </w:p>
        </w:tc>
        <w:tc>
          <w:tcPr>
            <w:tcW w:type="dxa" w:w="2541"/>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Keep off</w:t>
            </w:r>
          </w:p>
        </w:tc>
      </w:tr>
    </w:tbl>
    <w:p>
      <w:pPr>
        <w:pStyle w:val="Heading2"/>
        <w:keepNext/>
      </w:pPr>
      <w:r>
        <w:t>Narrow Shadow Roster</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656"/>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Role</w:t>
            </w:r>
          </w:p>
        </w:tc>
        <w:tc>
          <w:tcPr>
            <w:tcW w:type="dxa" w:w="432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Strategy</w:t>
            </w:r>
          </w:p>
        </w:tc>
        <w:tc>
          <w:tcPr>
            <w:tcW w:type="dxa" w:w="4176"/>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6"/>
              </w:rPr>
              <w:t>Purpose</w:t>
            </w:r>
          </w:p>
        </w:tc>
      </w:tr>
      <w:tr>
        <w:trPr>
          <w:cantSplit/>
        </w:trPr>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Shadow hypothesis</w:t>
            </w:r>
          </w:p>
        </w:tc>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htf_regime_continuation_15m_v2</w:t>
            </w:r>
          </w:p>
        </w:tc>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Warmup and bound snapshot proof until EMA200 is ready</w:t>
            </w:r>
          </w:p>
        </w:tc>
      </w:tr>
      <w:tr>
        <w:trPr>
          <w:cantSplit/>
        </w:trPr>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Quote parity</w:t>
            </w:r>
          </w:p>
        </w:tc>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htf_structure_continuation_realtime_v1</w:t>
            </w:r>
          </w:p>
        </w:tc>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Selective BBO acceptance and kernel approval proof</w:t>
            </w:r>
          </w:p>
        </w:tc>
      </w:tr>
      <w:tr>
        <w:trPr>
          <w:cantSplit/>
        </w:trPr>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Quote parity</w:t>
            </w:r>
          </w:p>
        </w:tc>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range_expansion_realtime_v2</w:t>
            </w:r>
          </w:p>
        </w:tc>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Moderate arm conversion and post cost proof</w:t>
            </w:r>
          </w:p>
        </w:tc>
      </w:tr>
      <w:tr>
        <w:trPr>
          <w:cantSplit/>
        </w:trPr>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Research volume</w:t>
            </w:r>
          </w:p>
        </w:tc>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squeeze_expansion_breakout_v4 and tick_accepted_breakout_v1</w:t>
            </w:r>
          </w:p>
        </w:tc>
        <w:tc>
          <w:tcPr>
            <w:tcW w:type="dxa" w:w="3389"/>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Exercise quote mechanics without performance claims</w:t>
            </w:r>
          </w:p>
        </w:tc>
      </w:tr>
      <w:tr>
        <w:trPr>
          <w:cantSplit/>
        </w:trPr>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Off</w:t>
            </w:r>
          </w:p>
        </w:tc>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AVWAP V1 session continuation liquidity sweep MACD hidden divergence</w:t>
            </w:r>
          </w:p>
        </w:tc>
        <w:tc>
          <w:tcPr>
            <w:tcW w:type="dxa" w:w="3389"/>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6"/>
              </w:rPr>
              <w:t>Current versions failed after booked costs</w:t>
            </w:r>
          </w:p>
        </w:tc>
      </w:tr>
    </w:tbl>
    <w:p>
      <w:r>
        <w:br w:type="page"/>
      </w:r>
    </w:p>
    <w:p>
      <w:pPr>
        <w:pStyle w:val="Heading1"/>
        <w:keepNext/>
      </w:pPr>
      <w:r>
        <w:t>Strategy Change Governance</w:t>
      </w:r>
    </w:p>
    <w:p>
      <w:r>
        <w:rPr>
          <w:rFonts w:ascii="Aptos" w:hAnsi="Aptos"/>
          <w:color w:val="000000"/>
        </w:rPr>
        <w:t>A live strategy identifier is immutable evidence. Any change to its market claim, decision clock, required data, context contract, or fire set must be registered as a new strategy identifier and replayed independently. Silence is not authority to weaken the claim, and a new identifier must never inherit the old identifier's scoreboard.</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7"/>
              </w:rPr>
              <w:t>Change</w:t>
            </w:r>
          </w:p>
        </w:tc>
        <w:tc>
          <w:tcPr>
            <w:tcW w:type="dxa" w:w="691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7"/>
              </w:rPr>
              <w:t>Required treatment</w:t>
            </w:r>
          </w:p>
        </w:tc>
      </w:tr>
      <w:tr>
        <w:trPr>
          <w:cantSplit/>
        </w:trPr>
        <w:tc>
          <w:tcPr>
            <w:tcW w:type="dxa" w:w="508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Correctness defect that changes fires</w:t>
            </w:r>
          </w:p>
        </w:tc>
        <w:tc>
          <w:tcPr>
            <w:tcW w:type="dxa" w:w="508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Register a new version, or document the exceptional correction and freeze the old golden output before accepting the new fire set</w:t>
            </w:r>
          </w:p>
        </w:tc>
      </w:tr>
      <w:tr>
        <w:trPr>
          <w:cantSplit/>
        </w:trPr>
        <w:tc>
          <w:tcPr>
            <w:tcW w:type="dxa" w:w="508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New market claim</w:t>
            </w:r>
          </w:p>
        </w:tc>
        <w:tc>
          <w:tcPr>
            <w:tcW w:type="dxa" w:w="508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Create a new strategy identifier and STRATEGY_SPEC</w:t>
            </w:r>
          </w:p>
        </w:tc>
      </w:tr>
      <w:tr>
        <w:trPr>
          <w:cantSplit/>
        </w:trPr>
        <w:tc>
          <w:tcPr>
            <w:tcW w:type="dxa" w:w="508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Entry clock change</w:t>
            </w:r>
          </w:p>
        </w:tc>
        <w:tc>
          <w:tcPr>
            <w:tcW w:type="dxa" w:w="508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Create a new identifier; next open and quote hold cannot share an envelope stream</w:t>
            </w:r>
          </w:p>
        </w:tc>
      </w:tr>
      <w:tr>
        <w:trPr>
          <w:cantSplit/>
        </w:trPr>
        <w:tc>
          <w:tcPr>
            <w:tcW w:type="dxa" w:w="508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Geometry or cost parameters that change eligibility</w:t>
            </w:r>
          </w:p>
        </w:tc>
        <w:tc>
          <w:tcPr>
            <w:tcW w:type="dxa" w:w="508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Create a new identifier; keep the Delta cost wall unchanged unless the cost profile itself is versioned</w:t>
            </w:r>
          </w:p>
        </w:tc>
      </w:tr>
      <w:tr>
        <w:trPr>
          <w:cantSplit/>
        </w:trPr>
        <w:tc>
          <w:tcPr>
            <w:tcW w:type="dxa" w:w="508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HTF context added or removed</w:t>
            </w:r>
          </w:p>
        </w:tc>
        <w:tc>
          <w:tcPr>
            <w:tcW w:type="dxa" w:w="508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Create a new identifier with explicit bound snapshot requirements</w:t>
            </w:r>
          </w:p>
        </w:tc>
      </w:tr>
      <w:tr>
        <w:trPr>
          <w:cantSplit/>
        </w:trPr>
        <w:tc>
          <w:tcPr>
            <w:tcW w:type="dxa" w:w="508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New 15m indicator</w:t>
            </w:r>
          </w:p>
        </w:tc>
        <w:tc>
          <w:tcPr>
            <w:tcW w:type="dxa" w:w="508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Create an isolated research identifier; do not add it as silent confluence on an existing strategy</w:t>
            </w:r>
          </w:p>
        </w:tc>
      </w:tr>
    </w:tbl>
    <w:p>
      <w:pPr>
        <w:pStyle w:val="Heading2"/>
        <w:keepNext/>
      </w:pPr>
      <w:r>
        <w:t>Frozen Invariants</w:t>
      </w:r>
    </w:p>
    <w:p>
      <w:pPr>
        <w:pStyle w:val="ListBullet"/>
        <w:spacing w:after="60"/>
      </w:pPr>
      <w:r>
        <w:rPr>
          <w:rFonts w:ascii="Aptos" w:hAnsi="Aptos"/>
          <w:color w:val="000000"/>
          <w:sz w:val="20"/>
        </w:rPr>
        <w:t>Keep the strict three left and three right confirmed swing causality unless a new strategy identifier explicitly changes it.</w:t>
      </w:r>
    </w:p>
    <w:p>
      <w:pPr>
        <w:pStyle w:val="ListBullet"/>
        <w:spacing w:after="60"/>
      </w:pPr>
      <w:r>
        <w:rPr>
          <w:rFonts w:ascii="Aptos" w:hAnsi="Aptos"/>
          <w:color w:val="000000"/>
          <w:sz w:val="20"/>
        </w:rPr>
        <w:t>Never let a forming bar create a fire.</w:t>
      </w:r>
    </w:p>
    <w:p>
      <w:pPr>
        <w:pStyle w:val="ListBullet"/>
        <w:spacing w:after="60"/>
      </w:pPr>
      <w:r>
        <w:rPr>
          <w:rFonts w:ascii="Aptos" w:hAnsi="Aptos"/>
          <w:color w:val="000000"/>
          <w:sz w:val="20"/>
        </w:rPr>
        <w:t>Use booked execution cost for P and L and keep the gate reserve separate.</w:t>
      </w:r>
    </w:p>
    <w:p>
      <w:pPr>
        <w:pStyle w:val="ListBullet"/>
        <w:spacing w:after="60"/>
      </w:pPr>
      <w:r>
        <w:rPr>
          <w:rFonts w:ascii="Aptos" w:hAnsi="Aptos"/>
          <w:color w:val="000000"/>
          <w:sz w:val="20"/>
        </w:rPr>
        <w:t>Do not change the decision identifier inputs: decision bar content hash, side, snapshot, and entry clock remain the deterministic identity.</w:t>
      </w:r>
    </w:p>
    <w:p>
      <w:pPr>
        <w:pStyle w:val="ListBullet"/>
        <w:spacing w:after="60"/>
      </w:pPr>
      <w:r>
        <w:rPr>
          <w:rFonts w:ascii="Aptos" w:hAnsi="Aptos"/>
          <w:color w:val="000000"/>
          <w:sz w:val="20"/>
        </w:rPr>
        <w:t>Do not alter capital eligibility or the runtime roster from inside a scanner module.</w:t>
      </w:r>
    </w:p>
    <w:p>
      <w:pPr>
        <w:pStyle w:val="Heading2"/>
        <w:keepNext/>
      </w:pPr>
      <w:r>
        <w:t>One Logic Change Procedure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7"/>
              </w:rPr>
              <w:t>Step</w:t>
            </w:r>
          </w:p>
        </w:tc>
        <w:tc>
          <w:tcPr>
            <w:tcW w:type="dxa" w:w="792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7"/>
              </w:rPr>
              <w:t>Acceptance rule</w:t>
            </w:r>
          </w:p>
        </w:tc>
      </w:tr>
      <w:tr>
        <w:trPr>
          <w:cantSplit/>
        </w:trPr>
        <w:tc>
          <w:tcPr>
            <w:tcW w:type="dxa" w:w="508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State the claim</w:t>
            </w:r>
          </w:p>
        </w:tc>
        <w:tc>
          <w:tcPr>
            <w:tcW w:type="dxa" w:w="508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Write one causal sentence that names the closed structure, required data, context, and entry clock</w:t>
            </w:r>
          </w:p>
        </w:tc>
      </w:tr>
      <w:tr>
        <w:trPr>
          <w:cantSplit/>
        </w:trPr>
        <w:tc>
          <w:tcPr>
            <w:tcW w:type="dxa" w:w="508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Create the version</w:t>
            </w:r>
          </w:p>
        </w:tc>
        <w:tc>
          <w:tcPr>
            <w:tcW w:type="dxa" w:w="508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Copy to a new versioned module and register a new STRATEGY_ID and STRATEGY_SPEC with performance eligibility off</w:t>
            </w:r>
          </w:p>
        </w:tc>
      </w:tr>
      <w:tr>
        <w:trPr>
          <w:cantSplit/>
        </w:trPr>
        <w:tc>
          <w:tcPr>
            <w:tcW w:type="dxa" w:w="508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Preserve the interface</w:t>
            </w:r>
          </w:p>
        </w:tc>
        <w:tc>
          <w:tcPr>
            <w:tcW w:type="dxa" w:w="508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Keep prepare and exactly one of signal or realtime arm, plus diagnostics and the evidence envelope at ARM</w:t>
            </w:r>
          </w:p>
        </w:tc>
      </w:tr>
      <w:tr>
        <w:trPr>
          <w:cantSplit/>
        </w:trPr>
        <w:tc>
          <w:tcPr>
            <w:tcW w:type="dxa" w:w="508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Change one rule</w:t>
            </w:r>
          </w:p>
        </w:tc>
        <w:tc>
          <w:tcPr>
            <w:tcW w:type="dxa" w:w="508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One pull request changes one named rule such as parent identity, exact volume, or session timing</w:t>
            </w:r>
          </w:p>
        </w:tc>
      </w:tr>
      <w:tr>
        <w:trPr>
          <w:cantSplit/>
        </w:trPr>
        <w:tc>
          <w:tcPr>
            <w:tcW w:type="dxa" w:w="508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Prove old and new</w:t>
            </w:r>
          </w:p>
        </w:tc>
        <w:tc>
          <w:tcPr>
            <w:tcW w:type="dxa" w:w="508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The old identifier remains bit identical on the 27 day artifact; the new identifier has fixtures for its new reject and new decision identifiers</w:t>
            </w:r>
          </w:p>
        </w:tc>
      </w:tr>
      <w:tr>
        <w:trPr>
          <w:cantSplit/>
        </w:trPr>
        <w:tc>
          <w:tcPr>
            <w:tcW w:type="dxa" w:w="508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Control the roster</w:t>
            </w:r>
          </w:p>
        </w:tc>
        <w:tc>
          <w:tcPr>
            <w:tcW w:type="dxa" w:w="508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Default off; shadow only after the revival matrix supports it; list as research in the UI until then</w:t>
            </w:r>
          </w:p>
        </w:tc>
      </w:tr>
    </w:tbl>
    <w:p>
      <w:r>
        <w:rPr>
          <w:rFonts w:ascii="Aptos" w:hAnsi="Aptos"/>
          <w:color w:val="000000"/>
        </w:rPr>
        <w:t>Apply this policy now by versioning BoS if parent rejection changes fires, preserving AVWAP Version 1 while creating avwap_reclaim_15m_v2, and leaving session, HTF, quote hold, and chase rules frozen until their declared evidence exists.</w:t>
      </w:r>
    </w:p>
    <w:p>
      <w:r>
        <w:br w:type="page"/>
      </w:r>
    </w:p>
    <w:p>
      <w:pPr>
        <w:pStyle w:val="Heading1"/>
        <w:keepNext/>
      </w:pPr>
      <w:r>
        <w:t>Operational Requirements Before Shadow Expansion</w:t>
      </w:r>
    </w:p>
    <w:p>
      <w:r>
        <w:rPr>
          <w:rFonts w:ascii="Aptos" w:hAnsi="Aptos"/>
          <w:color w:val="000000"/>
        </w:rPr>
        <w:t>The next phase should increase evidence quality, not scanner count. The following conditions protect the identity and execution contracts already built.</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7"/>
              </w:rPr>
              <w:t>Requirement</w:t>
            </w:r>
          </w:p>
        </w:tc>
        <w:tc>
          <w:tcPr>
            <w:tcW w:type="dxa" w:w="727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7"/>
              </w:rPr>
              <w:t>Acceptance condition</w:t>
            </w:r>
          </w:p>
        </w:tc>
      </w:tr>
      <w:tr>
        <w:trPr>
          <w:cantSplit/>
        </w:trPr>
        <w:tc>
          <w:tcPr>
            <w:tcW w:type="dxa" w:w="508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Decision bar identity</w:t>
            </w:r>
          </w:p>
        </w:tc>
        <w:tc>
          <w:tcPr>
            <w:tcW w:type="dxa" w:w="508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The same content hash appears for router and Parquet representations of the bar</w:t>
            </w:r>
          </w:p>
        </w:tc>
      </w:tr>
      <w:tr>
        <w:trPr>
          <w:cantSplit/>
        </w:trPr>
        <w:tc>
          <w:tcPr>
            <w:tcW w:type="dxa" w:w="508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Bound context</w:t>
            </w:r>
          </w:p>
        </w:tc>
        <w:tc>
          <w:tcPr>
            <w:tcW w:type="dxa" w:w="508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Every required 4h and 1d reference exists in the eligible bound frame and closes no later than the decision bar</w:t>
            </w:r>
          </w:p>
        </w:tc>
      </w:tr>
      <w:tr>
        <w:trPr>
          <w:cantSplit/>
        </w:trPr>
        <w:tc>
          <w:tcPr>
            <w:tcW w:type="dxa" w:w="508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Structure parent identity</w:t>
            </w:r>
          </w:p>
        </w:tc>
        <w:tc>
          <w:tcPr>
            <w:tcW w:type="dxa" w:w="508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The joined one hour available time equals the decision hour; otherwise the lane records structure_parent_missing and cannot arm</w:t>
            </w:r>
          </w:p>
        </w:tc>
      </w:tr>
      <w:tr>
        <w:trPr>
          <w:cantSplit/>
        </w:trPr>
        <w:tc>
          <w:tcPr>
            <w:tcW w:type="dxa" w:w="508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Quote evidence</w:t>
            </w:r>
          </w:p>
        </w:tc>
        <w:tc>
          <w:tcPr>
            <w:tcW w:type="dxa" w:w="508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Lane consumed Delta BBO contains event time receipt time sequence bid ask and overflow state</w:t>
            </w:r>
          </w:p>
        </w:tc>
      </w:tr>
      <w:tr>
        <w:trPr>
          <w:cantSplit/>
        </w:trPr>
        <w:tc>
          <w:tcPr>
            <w:tcW w:type="dxa" w:w="508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Approval parity</w:t>
            </w:r>
          </w:p>
        </w:tc>
        <w:tc>
          <w:tcPr>
            <w:tcW w:type="dxa" w:w="508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Replay and shadow match decision identifier candidate approval side entry stop and risk codes on nonzero cases</w:t>
            </w:r>
          </w:p>
        </w:tc>
      </w:tr>
      <w:tr>
        <w:trPr>
          <w:cantSplit/>
        </w:trPr>
        <w:tc>
          <w:tcPr>
            <w:tcW w:type="dxa" w:w="508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Kernel authority</w:t>
            </w:r>
          </w:p>
        </w:tc>
        <w:tc>
          <w:tcPr>
            <w:tcW w:type="dxa" w:w="508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Every operational shadow fill has a managed order path and decision evidence</w:t>
            </w:r>
          </w:p>
        </w:tc>
      </w:tr>
      <w:tr>
        <w:trPr>
          <w:cantSplit/>
        </w:trPr>
        <w:tc>
          <w:tcPr>
            <w:tcW w:type="dxa" w:w="508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Scoreboard separation</w:t>
            </w:r>
          </w:p>
        </w:tc>
        <w:tc>
          <w:tcPr>
            <w:tcW w:type="dxa" w:w="508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Next open quote hold and route policy outcomes use separate summaries</w:t>
            </w:r>
          </w:p>
        </w:tc>
      </w:tr>
      <w:tr>
        <w:trPr>
          <w:cantSplit/>
        </w:trPr>
        <w:tc>
          <w:tcPr>
            <w:tcW w:type="dxa" w:w="508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Capital state</w:t>
            </w:r>
          </w:p>
        </w:tc>
        <w:tc>
          <w:tcPr>
            <w:tcW w:type="dxa" w:w="508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Capital remains locked until private stream reconciliation and the live checklist pass</w:t>
            </w:r>
          </w:p>
        </w:tc>
      </w:tr>
    </w:tbl>
    <w:p>
      <w:pPr>
        <w:pStyle w:val="Heading2"/>
        <w:keepNext/>
      </w:pPr>
      <w:r>
        <w:t>Recommended Work Sequence</w:t>
      </w:r>
    </w:p>
    <w:p>
      <w:pPr>
        <w:pStyle w:val="ListBullet"/>
        <w:spacing w:after="60"/>
      </w:pPr>
      <w:r>
        <w:rPr>
          <w:rFonts w:ascii="Aptos" w:hAnsi="Aptos"/>
          <w:color w:val="000000"/>
          <w:sz w:val="20"/>
        </w:rPr>
        <w:t>Accumulate the missing canonical daily history for the higher timeframe regime lane without lowering EMA200 warmup.</w:t>
      </w:r>
    </w:p>
    <w:p>
      <w:pPr>
        <w:pStyle w:val="ListBullet"/>
        <w:spacing w:after="60"/>
      </w:pPr>
      <w:r>
        <w:rPr>
          <w:rFonts w:ascii="Aptos" w:hAnsi="Aptos"/>
          <w:color w:val="000000"/>
          <w:sz w:val="20"/>
        </w:rPr>
        <w:t>Record lane consumed Delta India BBO for the two quote revival candidates.</w:t>
      </w:r>
    </w:p>
    <w:p>
      <w:pPr>
        <w:pStyle w:val="ListBullet"/>
        <w:spacing w:after="60"/>
      </w:pPr>
      <w:r>
        <w:rPr>
          <w:rFonts w:ascii="Aptos" w:hAnsi="Aptos"/>
          <w:color w:val="000000"/>
          <w:sz w:val="20"/>
        </w:rPr>
        <w:t>Replay those quotes through FireGuard CostGate sizing and risk and require nonzero exact matches.</w:t>
      </w:r>
    </w:p>
    <w:p>
      <w:pPr>
        <w:pStyle w:val="ListBullet"/>
        <w:spacing w:after="60"/>
      </w:pPr>
      <w:r>
        <w:rPr>
          <w:rFonts w:ascii="Aptos" w:hAnsi="Aptos"/>
          <w:color w:val="000000"/>
          <w:sz w:val="20"/>
        </w:rPr>
        <w:t>Run 90 day next open diagnostics for the two under sampled bar close candidates.</w:t>
      </w:r>
    </w:p>
    <w:p>
      <w:pPr>
        <w:pStyle w:val="ListBullet"/>
        <w:spacing w:after="60"/>
      </w:pPr>
      <w:r>
        <w:rPr>
          <w:rFonts w:ascii="Aptos" w:hAnsi="Aptos"/>
          <w:color w:val="000000"/>
          <w:sz w:val="20"/>
        </w:rPr>
        <w:t>Keep the four high sample negative current versions off and design a new identifier only when the market claim changes.</w:t>
      </w:r>
    </w:p>
    <w:p>
      <w:r>
        <w:br w:type="page"/>
      </w:r>
    </w:p>
    <w:p>
      <w:pPr>
        <w:pStyle w:val="Heading1"/>
        <w:keepNext/>
      </w:pPr>
      <w:r>
        <w:t>Final Assessment</w:t>
      </w:r>
    </w:p>
    <w:p>
      <w:r>
        <w:rPr>
          <w:rFonts w:ascii="Aptos" w:hAnsi="Aptos"/>
          <w:color w:val="000000"/>
        </w:rPr>
        <w:t>The scanner catalog is functioning as a set of setup detectors. The 27 day trade replay proves that several closed bar families arm or signal, while four high sample next open families lose after booked cost. Functional execution still requires one closed bar and bound context to mint a decision identifier, followed by the declared next open fill or lane BBO acceptance through the same kernel and a clock specific scoreboard. The immediate opportunity is to complete evidence for two selective quote scanners, enforce exact BoS parent identity, and collect enough daily history for the higher timeframe telescope.</w:t>
      </w:r>
    </w:p>
    <w:p>
      <w:r>
        <w:rPr>
          <w:rFonts w:ascii="Aptos" w:hAnsi="Aptos"/>
          <w:color w:val="000000"/>
        </w:rPr>
        <w:t>The shadow roster should therefore stay narrow. Use higher timeframe structure continuation realtime and range expansion realtime Version 2 for quote path proof. Keep higher timeframe regime continuation Version 2 as the intended hot strategy once its daily warmup is honest. Extend the two under sampled next open candidates. Leave capital locked throughout this work.</w:t>
      </w:r>
    </w:p>
    <w:p>
      <w:r>
        <w:br w:type="page"/>
      </w:r>
    </w:p>
    <w:p>
      <w:pPr>
        <w:pStyle w:val="Heading1"/>
        <w:keepNext/>
      </w:pPr>
      <w:r>
        <w:t>Source Map</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482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7"/>
              </w:rPr>
              <w:t>Source</w:t>
            </w:r>
          </w:p>
        </w:tc>
        <w:tc>
          <w:tcPr>
            <w:tcW w:type="dxa" w:w="532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center"/>
            </w:pPr>
            <w:r/>
            <w:r>
              <w:rPr>
                <w:rFonts w:ascii="Aptos" w:hAnsi="Aptos"/>
                <w:b/>
                <w:color w:val="FFFFFF"/>
                <w:sz w:val="17"/>
              </w:rPr>
              <w:t>Purpose</w:t>
            </w:r>
          </w:p>
        </w:tc>
      </w:tr>
      <w:tr>
        <w:trPr>
          <w:cantSplit/>
        </w:trPr>
        <w:tc>
          <w:tcPr>
            <w:tcW w:type="dxa" w:w="508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research/live_research/scanner_revival_latest.json</w:t>
            </w:r>
          </w:p>
        </w:tc>
        <w:tc>
          <w:tcPr>
            <w:tcW w:type="dxa" w:w="508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Current 27 day Delta India evidence artifact</w:t>
            </w:r>
          </w:p>
        </w:tc>
      </w:tr>
      <w:tr>
        <w:trPr>
          <w:cantSplit/>
        </w:trPr>
        <w:tc>
          <w:tcPr>
            <w:tcW w:type="dxa" w:w="508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src/vnedge/strategy/scanner_contracts.py</w:t>
            </w:r>
          </w:p>
        </w:tc>
        <w:tc>
          <w:tcPr>
            <w:tcW w:type="dxa" w:w="508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Runtime scanner catalog and clocks</w:t>
            </w:r>
          </w:p>
        </w:tc>
      </w:tr>
      <w:tr>
        <w:trPr>
          <w:cantSplit/>
        </w:trPr>
        <w:tc>
          <w:tcPr>
            <w:tcW w:type="dxa" w:w="508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src/vnedge/strategy/market_regime.py</w:t>
            </w:r>
          </w:p>
        </w:tc>
        <w:tc>
          <w:tcPr>
            <w:tcW w:type="dxa" w:w="508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Higher timeframe permission machine</w:t>
            </w:r>
          </w:p>
        </w:tc>
      </w:tr>
      <w:tr>
        <w:trPr>
          <w:cantSplit/>
        </w:trPr>
        <w:tc>
          <w:tcPr>
            <w:tcW w:type="dxa" w:w="508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src/vnedge/strategy/arm_evidence.py</w:t>
            </w:r>
          </w:p>
        </w:tc>
        <w:tc>
          <w:tcPr>
            <w:tcW w:type="dxa" w:w="508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Frozen decision and context identity</w:t>
            </w:r>
          </w:p>
        </w:tc>
      </w:tr>
      <w:tr>
        <w:trPr>
          <w:cantSplit/>
        </w:trPr>
        <w:tc>
          <w:tcPr>
            <w:tcW w:type="dxa" w:w="508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src/vnedge/data/swings.py</w:t>
            </w:r>
          </w:p>
        </w:tc>
        <w:tc>
          <w:tcPr>
            <w:tcW w:type="dxa" w:w="5083"/>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Confirmed swing contract</w:t>
            </w:r>
          </w:p>
        </w:tc>
      </w:tr>
      <w:tr>
        <w:trPr>
          <w:cantSplit/>
        </w:trPr>
        <w:tc>
          <w:tcPr>
            <w:tcW w:type="dxa" w:w="508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src/vnedge/research/scanner_evidence.py</w:t>
            </w:r>
          </w:p>
        </w:tc>
        <w:tc>
          <w:tcPr>
            <w:tcW w:type="dxa" w:w="5083"/>
            <w:shd w:fill="F5F9FC"/>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2" w:lineRule="auto"/>
              <w:jc w:val="left"/>
            </w:pPr>
            <w:r/>
            <w:r>
              <w:rPr>
                <w:rFonts w:ascii="Aptos" w:hAnsi="Aptos"/>
                <w:color w:val="000000"/>
                <w:sz w:val="17"/>
              </w:rPr>
              <w:t>Replay and evidence generation</w:t>
            </w:r>
          </w:p>
        </w:tc>
      </w:tr>
    </w:tbl>
    <w:p>
      <w:r>
        <w:rPr>
          <w:rFonts w:ascii="Aptos" w:hAnsi="Aptos"/>
          <w:color w:val="000000"/>
        </w:rPr>
        <w:t>Artifact schema 1 generated 2026-09-05T07:30:08.167307+00:00 from commit 060520f.</w:t>
      </w:r>
    </w:p>
    <w:sectPr w:rsidR="00FC693F" w:rsidRPr="0006063C" w:rsidSect="00034616">
      <w:headerReference w:type="default" r:id="rId9"/>
      <w:footerReference w:type="default" r:id="rId10"/>
      <w:pgSz w:w="12240" w:h="15840"/>
      <w:pgMar w:top="1037" w:right="1037" w:bottom="1512"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0000"/>
        <w:sz w:val="17"/>
      </w:rPr>
      <w:t>VNEDGE Scanner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VNEDGE Scanner Logic and Revival Report</dc:title>
  <dc:subject>Delta India scanner logic and revival evidence</dc:subject>
  <dc:creator>VNEDGE</dc:creator>
  <cp:keywords>VNEDGE, Delta India, scanners, backtest, shadow, trading research</cp:keywords>
  <dc:description>generated by python-docx</dc:description>
  <cp:lastModifiedBy/>
  <cp:revision>1</cp:revision>
  <dcterms:created xsi:type="dcterms:W3CDTF">2013-12-23T23:15:00Z</dcterms:created>
  <dcterms:modified xsi:type="dcterms:W3CDTF">2013-12-23T23:15:00Z</dcterms:modified>
  <cp:category/>
</cp:coreProperties>
</file>