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文件版本：0.9.4-draft.1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，以及待驗收的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feature/m9-4-application-data-foundation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key；公司 EDB 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Pipeline Persistence、Artifact lifecycle、拓撲確認、權限、歷史、CVE、選配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保留為導入 Web／EDB 前的 CLI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scope。完整 Pipeline Persistence、Artifact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功能分支部署後預期為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待驗證手順</w:t>
      </w:r>
    </w:p>
    <w:p>
      <w:r>
        <w:rPr>
          <w:rFonts w:ascii="Calibri" w:hAnsi="Calibri" w:eastAsia="Microsoft JhengHei"/>
          <w:b w:val="0"/>
          <w:i w:val="0"/>
        </w:rPr>
        <w:t xml:space="preserve">目前只在本機 SQLite 與 PostgreSQL offline SQL 驗證，尚未於公司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執行。安排公司測試時：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tests；M9.4 功能分支本機基準為 65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foundation 已在功能分支通過 65 tests、PostgreSQL offline migration 與台灣行動支付 14 檔隔離投影；尚未部署公司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已實作，完整 Persistence Adapter、Artifact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