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8FC2" w14:textId="77777777" w:rsidR="00094A2B" w:rsidRDefault="00587C0F">
      <w:pPr>
        <w:pStyle w:val="Heading1"/>
      </w:pPr>
      <w:bookmarkStart w:id="0" w:name="product-requirements-document-prd"/>
      <w:r>
        <w:t>Product Requirements Document (PRD)</w:t>
      </w:r>
    </w:p>
    <w:p w14:paraId="23320130" w14:textId="2F2AF168" w:rsidR="00F03A61" w:rsidRDefault="00587C0F" w:rsidP="008174A9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bookmarkStart w:id="1" w:name="product-name-working-title"/>
      <w:r>
        <w:t>Product Name</w:t>
      </w:r>
      <w:r w:rsidR="008174A9">
        <w:t xml:space="preserve">: </w:t>
      </w:r>
      <w:r>
        <w:rPr>
          <w:b/>
          <w:bCs/>
        </w:rPr>
        <w:t>Market Readiness Indicator (MRI)</w:t>
      </w:r>
      <w:r>
        <w:br/>
      </w:r>
    </w:p>
    <w:p w14:paraId="506460DC" w14:textId="21F743AE" w:rsidR="00F03A61" w:rsidRDefault="00F03A61" w:rsidP="00F03A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-webkit-standard" w:hAnsi="-webkit-standard"/>
          <w:color w:val="000000"/>
          <w:sz w:val="27"/>
          <w:szCs w:val="27"/>
        </w:rPr>
        <w:t>A Market Readiness &amp; Trade Permission Indicator for discretionary traders (stocks, crypto, options) that avoids chop, highlights opportunity windows,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and warns when risk is increasing — without giving entries.</w:t>
      </w:r>
    </w:p>
    <w:p w14:paraId="18AF9EFD" w14:textId="77777777" w:rsidR="00094A2B" w:rsidRDefault="00E8390D">
      <w:r>
        <w:rPr>
          <w:noProof/>
        </w:rPr>
      </w:r>
      <w:r w:rsidR="00E8390D">
        <w:rPr>
          <w:noProof/>
        </w:rPr>
        <w:pict w14:anchorId="6FD84769">
          <v:rect id="_x0000_i1025" alt="" style="width:468pt;height:.05pt;mso-width-percent:0;mso-height-percent:0;mso-width-percent:0;mso-height-percent:0" o:hralign="center" o:hrstd="t" o:hr="t"/>
        </w:pict>
      </w:r>
    </w:p>
    <w:p w14:paraId="24730855" w14:textId="77777777" w:rsidR="00094A2B" w:rsidRDefault="00587C0F">
      <w:pPr>
        <w:pStyle w:val="Heading2"/>
      </w:pPr>
      <w:bookmarkStart w:id="2" w:name="purpose-of-this-document"/>
      <w:bookmarkEnd w:id="1"/>
      <w:r>
        <w:t>1. Purpose of This Document</w:t>
      </w:r>
    </w:p>
    <w:p w14:paraId="6C137619" w14:textId="77777777" w:rsidR="00094A2B" w:rsidRDefault="00587C0F">
      <w:pPr>
        <w:pStyle w:val="FirstParagraph"/>
      </w:pPr>
      <w:r>
        <w:t xml:space="preserve">This document serves as the </w:t>
      </w:r>
      <w:r>
        <w:rPr>
          <w:b/>
          <w:bCs/>
        </w:rPr>
        <w:t>single source of truth</w:t>
      </w:r>
      <w:r>
        <w:t xml:space="preserve"> for the design, scope, and intent of the Market Readiness Indicator.</w:t>
      </w:r>
    </w:p>
    <w:p w14:paraId="41A69963" w14:textId="77777777" w:rsidR="00094A2B" w:rsidRDefault="00587C0F">
      <w:pPr>
        <w:pStyle w:val="BodyText"/>
      </w:pPr>
      <w:r>
        <w:t xml:space="preserve">It is intended to: - Preserve product context across chats, tools, and future iterations - Be reusable in Antigravity / IDEs / AI coding agents - Prevent scope creep and over‑engineering - Ensure the product does </w:t>
      </w:r>
      <w:r>
        <w:rPr>
          <w:b/>
          <w:bCs/>
        </w:rPr>
        <w:t>not repeat past failures</w:t>
      </w:r>
      <w:r>
        <w:t xml:space="preserve"> (over‑filtering, no‑trade behavior)</w:t>
      </w:r>
    </w:p>
    <w:p w14:paraId="2F5751FE" w14:textId="77777777" w:rsidR="00094A2B" w:rsidRDefault="00587C0F">
      <w:pPr>
        <w:pStyle w:val="BodyText"/>
      </w:pPr>
      <w:r>
        <w:t>This document is written from the combined perspective of: - Senior Trader (20+ years discretionary trading) - Senior Software Engineer - Senior Product Manager / Business Analyst</w:t>
      </w:r>
    </w:p>
    <w:p w14:paraId="43F14DBF" w14:textId="77777777" w:rsidR="00094A2B" w:rsidRDefault="00E8390D">
      <w:r>
        <w:rPr>
          <w:noProof/>
        </w:rPr>
      </w:r>
      <w:r w:rsidR="00E8390D">
        <w:rPr>
          <w:noProof/>
        </w:rPr>
        <w:pict w14:anchorId="1086F01F">
          <v:rect id="_x0000_i1026" alt="" style="width:468pt;height:.05pt;mso-width-percent:0;mso-height-percent:0;mso-width-percent:0;mso-height-percent:0" o:hralign="center" o:hrstd="t" o:hr="t"/>
        </w:pict>
      </w:r>
    </w:p>
    <w:p w14:paraId="1B407560" w14:textId="77777777" w:rsidR="00094A2B" w:rsidRDefault="00587C0F">
      <w:pPr>
        <w:pStyle w:val="Heading2"/>
      </w:pPr>
      <w:bookmarkStart w:id="3" w:name="product-vision"/>
      <w:bookmarkEnd w:id="2"/>
      <w:r>
        <w:t>2. Product Vision</w:t>
      </w:r>
    </w:p>
    <w:p w14:paraId="12E3A750" w14:textId="77777777" w:rsidR="00094A2B" w:rsidRDefault="00587C0F">
      <w:pPr>
        <w:pStyle w:val="FirstParagraph"/>
      </w:pPr>
      <w:r>
        <w:rPr>
          <w:b/>
          <w:bCs/>
        </w:rPr>
        <w:t>One‑sentence vision:</w:t>
      </w:r>
      <w:r>
        <w:br/>
        <w:t xml:space="preserve">&gt; </w:t>
      </w:r>
      <w:r>
        <w:rPr>
          <w:i/>
          <w:iCs/>
        </w:rPr>
        <w:t>Provide traders with a clear, confidence‑building assessment of whether current market conditions are worth trading — without giving buy/sell signals.</w:t>
      </w:r>
    </w:p>
    <w:p w14:paraId="42966DD2" w14:textId="77777777" w:rsidR="00094A2B" w:rsidRDefault="00587C0F">
      <w:pPr>
        <w:pStyle w:val="BodyText"/>
      </w:pPr>
      <w:r>
        <w:t xml:space="preserve">The indicator acts as a </w:t>
      </w:r>
      <w:r>
        <w:rPr>
          <w:b/>
          <w:bCs/>
        </w:rPr>
        <w:t>decision‑support layer</w:t>
      </w:r>
      <w:r>
        <w:t>, not a strategy, signal service, or automated system.</w:t>
      </w:r>
    </w:p>
    <w:p w14:paraId="1FFFEF40" w14:textId="77777777" w:rsidR="00094A2B" w:rsidRDefault="00E8390D">
      <w:r>
        <w:rPr>
          <w:noProof/>
        </w:rPr>
      </w:r>
      <w:r w:rsidR="00E8390D">
        <w:rPr>
          <w:noProof/>
        </w:rPr>
        <w:pict w14:anchorId="12D07664">
          <v:rect id="_x0000_i1027" alt="" style="width:468pt;height:.05pt;mso-width-percent:0;mso-height-percent:0;mso-width-percent:0;mso-height-percent:0" o:hralign="center" o:hrstd="t" o:hr="t"/>
        </w:pict>
      </w:r>
    </w:p>
    <w:p w14:paraId="388A3B8C" w14:textId="77777777" w:rsidR="00094A2B" w:rsidRDefault="00587C0F">
      <w:pPr>
        <w:pStyle w:val="Heading2"/>
      </w:pPr>
      <w:bookmarkStart w:id="4" w:name="target-users"/>
      <w:bookmarkEnd w:id="3"/>
      <w:r>
        <w:t>3. Target Users</w:t>
      </w:r>
    </w:p>
    <w:p w14:paraId="2A1B46C6" w14:textId="77777777" w:rsidR="00094A2B" w:rsidRDefault="00587C0F">
      <w:pPr>
        <w:pStyle w:val="Heading3"/>
      </w:pPr>
      <w:bookmarkStart w:id="5" w:name="included-users"/>
      <w:r>
        <w:t>Included Users</w:t>
      </w:r>
    </w:p>
    <w:p w14:paraId="7376D665" w14:textId="77777777" w:rsidR="00094A2B" w:rsidRDefault="00587C0F">
      <w:pPr>
        <w:pStyle w:val="Compact"/>
        <w:numPr>
          <w:ilvl w:val="0"/>
          <w:numId w:val="2"/>
        </w:numPr>
      </w:pPr>
      <w:r>
        <w:t>Discretionary traders (stocks, indices, crypto)</w:t>
      </w:r>
    </w:p>
    <w:p w14:paraId="310BD0EF" w14:textId="77777777" w:rsidR="00094A2B" w:rsidRDefault="00587C0F">
      <w:pPr>
        <w:pStyle w:val="Compact"/>
        <w:numPr>
          <w:ilvl w:val="0"/>
          <w:numId w:val="2"/>
        </w:numPr>
      </w:pPr>
      <w:r>
        <w:t>Day traders, swing traders, position traders</w:t>
      </w:r>
    </w:p>
    <w:p w14:paraId="2D5B3E90" w14:textId="77777777" w:rsidR="00094A2B" w:rsidRDefault="00587C0F">
      <w:pPr>
        <w:pStyle w:val="Compact"/>
        <w:numPr>
          <w:ilvl w:val="0"/>
          <w:numId w:val="2"/>
        </w:numPr>
      </w:pPr>
      <w:r>
        <w:t>Options traders using directional bias</w:t>
      </w:r>
    </w:p>
    <w:p w14:paraId="207BD6B5" w14:textId="77777777" w:rsidR="00094A2B" w:rsidRDefault="00587C0F">
      <w:pPr>
        <w:pStyle w:val="Compact"/>
        <w:numPr>
          <w:ilvl w:val="0"/>
          <w:numId w:val="2"/>
        </w:numPr>
      </w:pPr>
      <w:r>
        <w:lastRenderedPageBreak/>
        <w:t>Traders who already use RSI, EMAs, price action, or support/resistance</w:t>
      </w:r>
    </w:p>
    <w:p w14:paraId="49E8A0AA" w14:textId="77777777" w:rsidR="00094A2B" w:rsidRDefault="00587C0F">
      <w:pPr>
        <w:pStyle w:val="Heading3"/>
      </w:pPr>
      <w:bookmarkStart w:id="6" w:name="explicitly-excluded-users"/>
      <w:bookmarkEnd w:id="5"/>
      <w:r>
        <w:t>Explicitly Excluded Users</w:t>
      </w:r>
    </w:p>
    <w:p w14:paraId="7C687B76" w14:textId="77777777" w:rsidR="00094A2B" w:rsidRDefault="00587C0F">
      <w:pPr>
        <w:pStyle w:val="Compact"/>
        <w:numPr>
          <w:ilvl w:val="0"/>
          <w:numId w:val="3"/>
        </w:numPr>
      </w:pPr>
      <w:r>
        <w:t>News/event‑driven traders</w:t>
      </w:r>
    </w:p>
    <w:p w14:paraId="4F5558AD" w14:textId="77777777" w:rsidR="00094A2B" w:rsidRDefault="00587C0F">
      <w:pPr>
        <w:pStyle w:val="Compact"/>
        <w:numPr>
          <w:ilvl w:val="0"/>
          <w:numId w:val="3"/>
        </w:numPr>
      </w:pPr>
      <w:r>
        <w:t>Fully automated strategy seekers</w:t>
      </w:r>
    </w:p>
    <w:p w14:paraId="1837B39A" w14:textId="77777777" w:rsidR="00094A2B" w:rsidRDefault="00587C0F">
      <w:pPr>
        <w:pStyle w:val="Compact"/>
        <w:numPr>
          <w:ilvl w:val="0"/>
          <w:numId w:val="3"/>
        </w:numPr>
      </w:pPr>
      <w:r>
        <w:t>High‑frequency scalpers</w:t>
      </w:r>
    </w:p>
    <w:p w14:paraId="2BF1CAC0" w14:textId="77777777" w:rsidR="00094A2B" w:rsidRDefault="00587C0F">
      <w:pPr>
        <w:pStyle w:val="Compact"/>
        <w:numPr>
          <w:ilvl w:val="0"/>
          <w:numId w:val="3"/>
        </w:numPr>
      </w:pPr>
      <w:r>
        <w:t>Users looking for guaranteed buy/sell alerts</w:t>
      </w:r>
    </w:p>
    <w:p w14:paraId="75FBFD3D" w14:textId="77777777" w:rsidR="00094A2B" w:rsidRDefault="00E8390D">
      <w:r>
        <w:rPr>
          <w:noProof/>
        </w:rPr>
      </w:r>
      <w:r w:rsidR="00E8390D">
        <w:rPr>
          <w:noProof/>
        </w:rPr>
        <w:pict w14:anchorId="6CDE1083">
          <v:rect id="_x0000_i1028" alt="" style="width:468pt;height:.05pt;mso-width-percent:0;mso-height-percent:0;mso-width-percent:0;mso-height-percent:0" o:hralign="center" o:hrstd="t" o:hr="t"/>
        </w:pict>
      </w:r>
    </w:p>
    <w:p w14:paraId="5F2F1707" w14:textId="77777777" w:rsidR="00094A2B" w:rsidRDefault="00587C0F">
      <w:pPr>
        <w:pStyle w:val="Heading2"/>
      </w:pPr>
      <w:bookmarkStart w:id="7" w:name="platform-distribution-strategy"/>
      <w:bookmarkEnd w:id="4"/>
      <w:bookmarkEnd w:id="6"/>
      <w:r>
        <w:t>4. Platform &amp; Distribution Strategy</w:t>
      </w:r>
    </w:p>
    <w:p w14:paraId="2C9349C7" w14:textId="77777777" w:rsidR="00094A2B" w:rsidRDefault="00587C0F">
      <w:pPr>
        <w:pStyle w:val="Heading3"/>
      </w:pPr>
      <w:bookmarkStart w:id="8" w:name="phase-1-mandatory"/>
      <w:r>
        <w:t>Phase 1 (Mandatory)</w:t>
      </w:r>
    </w:p>
    <w:p w14:paraId="29820FCA" w14:textId="77777777" w:rsidR="00094A2B" w:rsidRDefault="00587C0F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TradingView</w:t>
      </w:r>
      <w:proofErr w:type="spellEnd"/>
      <w:r>
        <w:rPr>
          <w:b/>
          <w:bCs/>
        </w:rPr>
        <w:t xml:space="preserve"> native indicator (Pine Script)</w:t>
      </w:r>
    </w:p>
    <w:p w14:paraId="7DA49092" w14:textId="77777777" w:rsidR="00094A2B" w:rsidRDefault="00587C0F">
      <w:pPr>
        <w:pStyle w:val="Compact"/>
        <w:numPr>
          <w:ilvl w:val="0"/>
          <w:numId w:val="4"/>
        </w:numPr>
      </w:pPr>
      <w:r>
        <w:t>Applied to any symbol already loaded on the chart</w:t>
      </w:r>
    </w:p>
    <w:p w14:paraId="2D4B293A" w14:textId="77777777" w:rsidR="00094A2B" w:rsidRDefault="00587C0F">
      <w:pPr>
        <w:pStyle w:val="Compact"/>
        <w:numPr>
          <w:ilvl w:val="0"/>
          <w:numId w:val="4"/>
        </w:numPr>
      </w:pPr>
      <w:r>
        <w:t>No external website required</w:t>
      </w:r>
    </w:p>
    <w:p w14:paraId="37795709" w14:textId="77777777" w:rsidR="00094A2B" w:rsidRDefault="00587C0F">
      <w:pPr>
        <w:pStyle w:val="Heading3"/>
      </w:pPr>
      <w:bookmarkStart w:id="9" w:name="explicitly-out-of-scope-phase-1"/>
      <w:bookmarkEnd w:id="8"/>
      <w:r>
        <w:t>Explicitly Out of Scope (Phase 1)</w:t>
      </w:r>
    </w:p>
    <w:p w14:paraId="450CBA41" w14:textId="77777777" w:rsidR="00094A2B" w:rsidRDefault="00587C0F">
      <w:pPr>
        <w:pStyle w:val="Compact"/>
        <w:numPr>
          <w:ilvl w:val="0"/>
          <w:numId w:val="5"/>
        </w:numPr>
      </w:pPr>
      <w:r>
        <w:t>Standalone website or charting platform</w:t>
      </w:r>
    </w:p>
    <w:p w14:paraId="14521C1E" w14:textId="77777777" w:rsidR="00094A2B" w:rsidRDefault="00587C0F">
      <w:pPr>
        <w:pStyle w:val="Compact"/>
        <w:numPr>
          <w:ilvl w:val="0"/>
          <w:numId w:val="5"/>
        </w:numPr>
      </w:pPr>
      <w:r>
        <w:t>Stock/crypto selection or recommendations</w:t>
      </w:r>
    </w:p>
    <w:p w14:paraId="2D0D6FD5" w14:textId="77777777" w:rsidR="00094A2B" w:rsidRDefault="00587C0F">
      <w:pPr>
        <w:pStyle w:val="Compact"/>
        <w:numPr>
          <w:ilvl w:val="0"/>
          <w:numId w:val="5"/>
        </w:numPr>
      </w:pPr>
      <w:r>
        <w:t>Scanners or watchlist ranking</w:t>
      </w:r>
    </w:p>
    <w:p w14:paraId="77881C69" w14:textId="77777777" w:rsidR="00094A2B" w:rsidRDefault="00587C0F">
      <w:pPr>
        <w:pStyle w:val="Compact"/>
        <w:numPr>
          <w:ilvl w:val="0"/>
          <w:numId w:val="5"/>
        </w:numPr>
      </w:pPr>
      <w:r>
        <w:t>Broker integration</w:t>
      </w:r>
    </w:p>
    <w:p w14:paraId="3BB6E6C6" w14:textId="77777777" w:rsidR="00094A2B" w:rsidRDefault="00587C0F">
      <w:pPr>
        <w:pStyle w:val="Compact"/>
        <w:numPr>
          <w:ilvl w:val="0"/>
          <w:numId w:val="5"/>
        </w:numPr>
      </w:pPr>
      <w:r>
        <w:t>Automation or bots</w:t>
      </w:r>
    </w:p>
    <w:p w14:paraId="72C012DE" w14:textId="77777777" w:rsidR="00094A2B" w:rsidRDefault="00E8390D">
      <w:r>
        <w:rPr>
          <w:noProof/>
        </w:rPr>
      </w:r>
      <w:r w:rsidR="00E8390D">
        <w:rPr>
          <w:noProof/>
        </w:rPr>
        <w:pict w14:anchorId="76701F4F">
          <v:rect id="_x0000_i1029" alt="" style="width:468pt;height:.05pt;mso-width-percent:0;mso-height-percent:0;mso-width-percent:0;mso-height-percent:0" o:hralign="center" o:hrstd="t" o:hr="t"/>
        </w:pict>
      </w:r>
    </w:p>
    <w:p w14:paraId="4DA0BFCA" w14:textId="77777777" w:rsidR="00094A2B" w:rsidRDefault="00587C0F">
      <w:pPr>
        <w:pStyle w:val="Heading2"/>
      </w:pPr>
      <w:bookmarkStart w:id="10" w:name="core-product-philosophy"/>
      <w:bookmarkEnd w:id="7"/>
      <w:bookmarkEnd w:id="9"/>
      <w:r>
        <w:t>5. Core Product Philosophy</w:t>
      </w:r>
    </w:p>
    <w:p w14:paraId="2AEA8D03" w14:textId="77777777" w:rsidR="00094A2B" w:rsidRDefault="00587C0F">
      <w:pPr>
        <w:pStyle w:val="Heading3"/>
      </w:pPr>
      <w:bookmarkStart w:id="11" w:name="what-this-indicator-is"/>
      <w:r>
        <w:t>What This Indicator IS</w:t>
      </w:r>
    </w:p>
    <w:p w14:paraId="033083C3" w14:textId="77777777" w:rsidR="00094A2B" w:rsidRDefault="00587C0F">
      <w:pPr>
        <w:pStyle w:val="Compact"/>
        <w:numPr>
          <w:ilvl w:val="0"/>
          <w:numId w:val="6"/>
        </w:numPr>
      </w:pPr>
      <w:r>
        <w:t xml:space="preserve">A </w:t>
      </w:r>
      <w:r>
        <w:rPr>
          <w:b/>
          <w:bCs/>
        </w:rPr>
        <w:t>Market Readiness &amp; Trade Permission tool</w:t>
      </w:r>
    </w:p>
    <w:p w14:paraId="773B70E1" w14:textId="77777777" w:rsidR="00094A2B" w:rsidRDefault="00587C0F">
      <w:pPr>
        <w:pStyle w:val="Compact"/>
        <w:numPr>
          <w:ilvl w:val="0"/>
          <w:numId w:val="6"/>
        </w:numPr>
      </w:pPr>
      <w:r>
        <w:t>Always informative (never silent)</w:t>
      </w:r>
    </w:p>
    <w:p w14:paraId="3E666BEA" w14:textId="77777777" w:rsidR="00094A2B" w:rsidRDefault="00587C0F">
      <w:pPr>
        <w:pStyle w:val="Compact"/>
        <w:numPr>
          <w:ilvl w:val="0"/>
          <w:numId w:val="6"/>
        </w:numPr>
      </w:pPr>
      <w:r>
        <w:t>Gradual and probabilistic, not binary</w:t>
      </w:r>
    </w:p>
    <w:p w14:paraId="7A46CA71" w14:textId="77777777" w:rsidR="00094A2B" w:rsidRDefault="00587C0F">
      <w:pPr>
        <w:pStyle w:val="Compact"/>
        <w:numPr>
          <w:ilvl w:val="0"/>
          <w:numId w:val="6"/>
        </w:numPr>
      </w:pPr>
      <w:r>
        <w:t>Visual‑first, low cognitive load</w:t>
      </w:r>
    </w:p>
    <w:p w14:paraId="08D15A79" w14:textId="77777777" w:rsidR="00094A2B" w:rsidRDefault="00587C0F">
      <w:pPr>
        <w:pStyle w:val="Heading3"/>
      </w:pPr>
      <w:bookmarkStart w:id="12" w:name="what-this-indicator-is-not"/>
      <w:bookmarkEnd w:id="11"/>
      <w:r>
        <w:t>What This Indicator IS NOT</w:t>
      </w:r>
    </w:p>
    <w:p w14:paraId="62888C87" w14:textId="77777777" w:rsidR="00094A2B" w:rsidRDefault="00587C0F">
      <w:pPr>
        <w:pStyle w:val="Compact"/>
        <w:numPr>
          <w:ilvl w:val="0"/>
          <w:numId w:val="7"/>
        </w:numPr>
      </w:pPr>
      <w:r>
        <w:t>Not a signal generator</w:t>
      </w:r>
    </w:p>
    <w:p w14:paraId="2B83F634" w14:textId="77777777" w:rsidR="00094A2B" w:rsidRDefault="00587C0F">
      <w:pPr>
        <w:pStyle w:val="Compact"/>
        <w:numPr>
          <w:ilvl w:val="0"/>
          <w:numId w:val="7"/>
        </w:numPr>
      </w:pPr>
      <w:r>
        <w:t>Not a strategy</w:t>
      </w:r>
    </w:p>
    <w:p w14:paraId="0088F698" w14:textId="77777777" w:rsidR="00094A2B" w:rsidRDefault="00587C0F">
      <w:pPr>
        <w:pStyle w:val="Compact"/>
        <w:numPr>
          <w:ilvl w:val="0"/>
          <w:numId w:val="7"/>
        </w:numPr>
      </w:pPr>
      <w:r>
        <w:t>Not an AI predictor</w:t>
      </w:r>
    </w:p>
    <w:p w14:paraId="2168E68F" w14:textId="77777777" w:rsidR="00094A2B" w:rsidRDefault="00587C0F">
      <w:pPr>
        <w:pStyle w:val="Compact"/>
        <w:numPr>
          <w:ilvl w:val="0"/>
          <w:numId w:val="7"/>
        </w:numPr>
      </w:pPr>
      <w:r>
        <w:t xml:space="preserve">Not an optimizer or </w:t>
      </w:r>
      <w:proofErr w:type="spellStart"/>
      <w:r>
        <w:t>backtester</w:t>
      </w:r>
      <w:proofErr w:type="spellEnd"/>
    </w:p>
    <w:p w14:paraId="5061BE69" w14:textId="77777777" w:rsidR="00094A2B" w:rsidRDefault="00587C0F">
      <w:pPr>
        <w:pStyle w:val="Compact"/>
        <w:numPr>
          <w:ilvl w:val="0"/>
          <w:numId w:val="7"/>
        </w:numPr>
      </w:pPr>
      <w:r>
        <w:t>Not a trade execution system</w:t>
      </w:r>
    </w:p>
    <w:p w14:paraId="50D2ABE8" w14:textId="77777777" w:rsidR="00094A2B" w:rsidRDefault="00E8390D">
      <w:r>
        <w:rPr>
          <w:noProof/>
        </w:rPr>
      </w:r>
      <w:r w:rsidR="00E8390D">
        <w:rPr>
          <w:noProof/>
        </w:rPr>
        <w:pict w14:anchorId="3470333F">
          <v:rect id="_x0000_i1030" alt="" style="width:468pt;height:.05pt;mso-width-percent:0;mso-height-percent:0;mso-width-percent:0;mso-height-percent:0" o:hralign="center" o:hrstd="t" o:hr="t"/>
        </w:pict>
      </w:r>
    </w:p>
    <w:p w14:paraId="3D19B8B3" w14:textId="77777777" w:rsidR="00094A2B" w:rsidRDefault="00587C0F">
      <w:pPr>
        <w:pStyle w:val="Heading2"/>
      </w:pPr>
      <w:bookmarkStart w:id="13" w:name="key-problem-being-solved"/>
      <w:bookmarkEnd w:id="10"/>
      <w:bookmarkEnd w:id="12"/>
      <w:r>
        <w:lastRenderedPageBreak/>
        <w:t>6. Key Problem Being Solved</w:t>
      </w:r>
    </w:p>
    <w:p w14:paraId="1ECF8791" w14:textId="77777777" w:rsidR="00094A2B" w:rsidRDefault="00587C0F">
      <w:pPr>
        <w:pStyle w:val="FirstParagraph"/>
      </w:pPr>
      <w:r>
        <w:t>Most traders fail not because of bad entries, but because they: - Trade during chop - Trade late in exhausted trends - Trade when risk asymmetry is poor - Overtrade due to lack of context</w:t>
      </w:r>
    </w:p>
    <w:p w14:paraId="1A9085AB" w14:textId="77777777" w:rsidR="00094A2B" w:rsidRDefault="00587C0F">
      <w:pPr>
        <w:pStyle w:val="BodyText"/>
      </w:pPr>
      <w:r>
        <w:t xml:space="preserve">Existing indicators answer </w:t>
      </w:r>
      <w:r>
        <w:rPr>
          <w:b/>
          <w:bCs/>
        </w:rPr>
        <w:t>what</w:t>
      </w:r>
      <w:r>
        <w:t xml:space="preserve"> is happening.</w:t>
      </w:r>
      <w:r>
        <w:br/>
        <w:t xml:space="preserve">This product answers </w:t>
      </w:r>
      <w:r>
        <w:rPr>
          <w:b/>
          <w:bCs/>
        </w:rPr>
        <w:t>whether acting is sensible right now</w:t>
      </w:r>
      <w:r>
        <w:t>.</w:t>
      </w:r>
    </w:p>
    <w:p w14:paraId="3564A93E" w14:textId="77777777" w:rsidR="00094A2B" w:rsidRDefault="00E8390D">
      <w:r>
        <w:rPr>
          <w:noProof/>
        </w:rPr>
      </w:r>
      <w:r w:rsidR="00E8390D">
        <w:rPr>
          <w:noProof/>
        </w:rPr>
        <w:pict w14:anchorId="6C3CE6AB">
          <v:rect id="_x0000_i1031" alt="" style="width:468pt;height:.05pt;mso-width-percent:0;mso-height-percent:0;mso-width-percent:0;mso-height-percent:0" o:hralign="center" o:hrstd="t" o:hr="t"/>
        </w:pict>
      </w:r>
    </w:p>
    <w:p w14:paraId="71BD8B3C" w14:textId="77777777" w:rsidR="00094A2B" w:rsidRDefault="00587C0F">
      <w:pPr>
        <w:pStyle w:val="Heading2"/>
      </w:pPr>
      <w:bookmarkStart w:id="14" w:name="highlevel-functional-overview"/>
      <w:bookmarkEnd w:id="13"/>
      <w:r>
        <w:t>7. High‑Level Functional Overview</w:t>
      </w:r>
    </w:p>
    <w:p w14:paraId="0F93633A" w14:textId="77777777" w:rsidR="00094A2B" w:rsidRDefault="00587C0F">
      <w:pPr>
        <w:pStyle w:val="FirstParagraph"/>
      </w:pPr>
      <w:r>
        <w:t xml:space="preserve">The indicator evaluates </w:t>
      </w:r>
      <w:r>
        <w:rPr>
          <w:b/>
          <w:bCs/>
        </w:rPr>
        <w:t>internal behavior of the active chart</w:t>
      </w:r>
      <w:r>
        <w:t xml:space="preserve"> and produces:</w:t>
      </w:r>
    </w:p>
    <w:p w14:paraId="2452673D" w14:textId="77777777" w:rsidR="00094A2B" w:rsidRDefault="00587C0F">
      <w:pPr>
        <w:pStyle w:val="Compact"/>
        <w:numPr>
          <w:ilvl w:val="0"/>
          <w:numId w:val="8"/>
        </w:numPr>
      </w:pPr>
      <w:r>
        <w:rPr>
          <w:b/>
          <w:bCs/>
        </w:rPr>
        <w:t>Primary Market Label</w:t>
      </w:r>
      <w:r>
        <w:t xml:space="preserve"> (human‑readable)</w:t>
      </w:r>
    </w:p>
    <w:p w14:paraId="084F475C" w14:textId="77777777" w:rsidR="00094A2B" w:rsidRDefault="00587C0F">
      <w:pPr>
        <w:pStyle w:val="Compact"/>
        <w:numPr>
          <w:ilvl w:val="0"/>
          <w:numId w:val="8"/>
        </w:numPr>
      </w:pPr>
      <w:r>
        <w:rPr>
          <w:b/>
          <w:bCs/>
        </w:rPr>
        <w:t>Secondary Readiness Score</w:t>
      </w:r>
      <w:r>
        <w:t xml:space="preserve"> (numeric)</w:t>
      </w:r>
    </w:p>
    <w:p w14:paraId="647150BD" w14:textId="77777777" w:rsidR="00094A2B" w:rsidRDefault="00587C0F">
      <w:pPr>
        <w:pStyle w:val="Compact"/>
        <w:numPr>
          <w:ilvl w:val="0"/>
          <w:numId w:val="8"/>
        </w:numPr>
      </w:pPr>
      <w:r>
        <w:rPr>
          <w:b/>
          <w:bCs/>
        </w:rPr>
        <w:t>Supporting visual context</w:t>
      </w:r>
      <w:r>
        <w:t xml:space="preserve"> (backgrounds, small meters)</w:t>
      </w:r>
    </w:p>
    <w:p w14:paraId="6A3344F7" w14:textId="77777777" w:rsidR="00094A2B" w:rsidRDefault="00587C0F">
      <w:pPr>
        <w:pStyle w:val="FirstParagraph"/>
      </w:pPr>
      <w:r>
        <w:t>No buy/sell arrows are generated.</w:t>
      </w:r>
    </w:p>
    <w:p w14:paraId="4BE99D8F" w14:textId="77777777" w:rsidR="00094A2B" w:rsidRDefault="00E8390D">
      <w:r>
        <w:rPr>
          <w:noProof/>
        </w:rPr>
      </w:r>
      <w:r w:rsidR="00E8390D">
        <w:rPr>
          <w:noProof/>
        </w:rPr>
        <w:pict w14:anchorId="5D44A40D">
          <v:rect id="_x0000_i1032" alt="" style="width:468pt;height:.05pt;mso-width-percent:0;mso-height-percent:0;mso-width-percent:0;mso-height-percent:0" o:hralign="center" o:hrstd="t" o:hr="t"/>
        </w:pict>
      </w:r>
    </w:p>
    <w:p w14:paraId="5C4E4B04" w14:textId="77777777" w:rsidR="00094A2B" w:rsidRDefault="00587C0F">
      <w:pPr>
        <w:pStyle w:val="Heading2"/>
      </w:pPr>
      <w:bookmarkStart w:id="15" w:name="output-design-userfacing"/>
      <w:bookmarkEnd w:id="14"/>
      <w:r>
        <w:t>8. Output Design (User‑Facing)</w:t>
      </w:r>
    </w:p>
    <w:p w14:paraId="42A0D103" w14:textId="77777777" w:rsidR="00094A2B" w:rsidRDefault="00587C0F">
      <w:pPr>
        <w:pStyle w:val="Heading3"/>
      </w:pPr>
      <w:bookmarkStart w:id="16" w:name="primary-label-mandatory"/>
      <w:r>
        <w:t>8.1 Primary Label (Mandatory)</w:t>
      </w:r>
    </w:p>
    <w:p w14:paraId="2E7F43E5" w14:textId="77777777" w:rsidR="00094A2B" w:rsidRDefault="00587C0F">
      <w:pPr>
        <w:pStyle w:val="FirstParagraph"/>
      </w:pPr>
      <w:r>
        <w:t>One of three mutually exclusive states:</w:t>
      </w:r>
    </w:p>
    <w:p w14:paraId="635C7FEE" w14:textId="77777777" w:rsidR="00094A2B" w:rsidRDefault="00587C0F">
      <w:pPr>
        <w:pStyle w:val="Compact"/>
        <w:numPr>
          <w:ilvl w:val="0"/>
          <w:numId w:val="9"/>
        </w:numPr>
      </w:pPr>
      <w:r>
        <w:t>🟢</w:t>
      </w:r>
      <w:r>
        <w:t xml:space="preserve"> </w:t>
      </w:r>
      <w:r>
        <w:rPr>
          <w:b/>
          <w:bCs/>
        </w:rPr>
        <w:t>TRADE‑FAVORABLE</w:t>
      </w:r>
    </w:p>
    <w:p w14:paraId="6EA4C232" w14:textId="77777777" w:rsidR="00094A2B" w:rsidRDefault="00587C0F">
      <w:pPr>
        <w:pStyle w:val="Compact"/>
        <w:numPr>
          <w:ilvl w:val="0"/>
          <w:numId w:val="9"/>
        </w:numPr>
      </w:pPr>
      <w:r>
        <w:t>🟡</w:t>
      </w:r>
      <w:r>
        <w:t xml:space="preserve"> </w:t>
      </w:r>
      <w:r>
        <w:rPr>
          <w:b/>
          <w:bCs/>
        </w:rPr>
        <w:t>MIXED CONDITIONS</w:t>
      </w:r>
    </w:p>
    <w:p w14:paraId="41BAF837" w14:textId="77777777" w:rsidR="00094A2B" w:rsidRDefault="00587C0F">
      <w:pPr>
        <w:pStyle w:val="Compact"/>
        <w:numPr>
          <w:ilvl w:val="0"/>
          <w:numId w:val="9"/>
        </w:numPr>
      </w:pPr>
      <w:r>
        <w:t>🔴</w:t>
      </w:r>
      <w:r>
        <w:t xml:space="preserve"> </w:t>
      </w:r>
      <w:r>
        <w:rPr>
          <w:b/>
          <w:bCs/>
        </w:rPr>
        <w:t>RISK ZONE</w:t>
      </w:r>
    </w:p>
    <w:p w14:paraId="3CD14028" w14:textId="77777777" w:rsidR="00094A2B" w:rsidRDefault="00587C0F">
      <w:pPr>
        <w:pStyle w:val="FirstParagraph"/>
      </w:pPr>
      <w:r>
        <w:t xml:space="preserve">This label is the </w:t>
      </w:r>
      <w:r>
        <w:rPr>
          <w:b/>
          <w:bCs/>
        </w:rPr>
        <w:t>main decision anchor</w:t>
      </w:r>
      <w:r>
        <w:t xml:space="preserve"> for the user.</w:t>
      </w:r>
    </w:p>
    <w:p w14:paraId="429700C5" w14:textId="77777777" w:rsidR="00094A2B" w:rsidRDefault="00E8390D">
      <w:r>
        <w:rPr>
          <w:noProof/>
        </w:rPr>
      </w:r>
      <w:r w:rsidR="00E8390D">
        <w:rPr>
          <w:noProof/>
        </w:rPr>
        <w:pict w14:anchorId="0CB6770A">
          <v:rect id="_x0000_i1033" alt="" style="width:468pt;height:.05pt;mso-width-percent:0;mso-height-percent:0;mso-width-percent:0;mso-height-percent:0" o:hralign="center" o:hrstd="t" o:hr="t"/>
        </w:pict>
      </w:r>
    </w:p>
    <w:p w14:paraId="36054EEC" w14:textId="77777777" w:rsidR="00094A2B" w:rsidRDefault="00587C0F">
      <w:pPr>
        <w:pStyle w:val="Heading3"/>
      </w:pPr>
      <w:bookmarkStart w:id="17" w:name="secondary-score-mandatory"/>
      <w:bookmarkEnd w:id="16"/>
      <w:r>
        <w:t>8.2 Secondary Score (Mandatory)</w:t>
      </w:r>
    </w:p>
    <w:p w14:paraId="04B186E9" w14:textId="77777777" w:rsidR="00094A2B" w:rsidRDefault="00587C0F">
      <w:pPr>
        <w:pStyle w:val="Compact"/>
        <w:numPr>
          <w:ilvl w:val="0"/>
          <w:numId w:val="10"/>
        </w:numPr>
      </w:pPr>
      <w:r>
        <w:t xml:space="preserve">Numeric score from </w:t>
      </w:r>
      <w:r>
        <w:rPr>
          <w:b/>
          <w:bCs/>
        </w:rPr>
        <w:t>0 to 100</w:t>
      </w:r>
    </w:p>
    <w:p w14:paraId="29913D96" w14:textId="77777777" w:rsidR="00094A2B" w:rsidRDefault="00587C0F">
      <w:pPr>
        <w:pStyle w:val="Compact"/>
        <w:numPr>
          <w:ilvl w:val="0"/>
          <w:numId w:val="10"/>
        </w:numPr>
      </w:pPr>
      <w:r>
        <w:t xml:space="preserve">Purpose: indicate </w:t>
      </w:r>
      <w:r>
        <w:rPr>
          <w:i/>
          <w:iCs/>
        </w:rPr>
        <w:t>degree</w:t>
      </w:r>
      <w:r>
        <w:t>, not permission</w:t>
      </w:r>
    </w:p>
    <w:p w14:paraId="43F46C06" w14:textId="77777777" w:rsidR="00094A2B" w:rsidRDefault="00587C0F">
      <w:pPr>
        <w:pStyle w:val="FirstParagraph"/>
      </w:pPr>
      <w:r>
        <w:t>Example interpretation: - 70–100 → Favorable environment - 40–69 → Mixed / selective - 0–39 → Risk‑dominant environment</w:t>
      </w:r>
    </w:p>
    <w:p w14:paraId="12E0F56E" w14:textId="77777777" w:rsidR="00094A2B" w:rsidRDefault="00587C0F">
      <w:pPr>
        <w:pStyle w:val="BodyText"/>
      </w:pPr>
      <w:r>
        <w:t>Score must: - Update smoothly (no erratic jumps) - Never be permanently stuck at extremes</w:t>
      </w:r>
    </w:p>
    <w:p w14:paraId="5B3428DE" w14:textId="77777777" w:rsidR="00094A2B" w:rsidRDefault="00E8390D">
      <w:r>
        <w:rPr>
          <w:noProof/>
        </w:rPr>
      </w:r>
      <w:r w:rsidR="00E8390D">
        <w:rPr>
          <w:noProof/>
        </w:rPr>
        <w:pict w14:anchorId="0DD590A0">
          <v:rect id="_x0000_i1034" alt="" style="width:468pt;height:.05pt;mso-width-percent:0;mso-height-percent:0;mso-width-percent:0;mso-height-percent:0" o:hralign="center" o:hrstd="t" o:hr="t"/>
        </w:pict>
      </w:r>
    </w:p>
    <w:p w14:paraId="7B10B76B" w14:textId="77777777" w:rsidR="00094A2B" w:rsidRDefault="00587C0F">
      <w:pPr>
        <w:pStyle w:val="Heading3"/>
      </w:pPr>
      <w:bookmarkStart w:id="18" w:name="visual-hierarchy-rules"/>
      <w:bookmarkEnd w:id="17"/>
      <w:r>
        <w:lastRenderedPageBreak/>
        <w:t>8.3 Visual Hierarchy Rules</w:t>
      </w:r>
    </w:p>
    <w:p w14:paraId="4B597DDB" w14:textId="77777777" w:rsidR="00094A2B" w:rsidRDefault="00587C0F">
      <w:pPr>
        <w:pStyle w:val="Compact"/>
        <w:numPr>
          <w:ilvl w:val="0"/>
          <w:numId w:val="11"/>
        </w:numPr>
      </w:pPr>
      <w:r>
        <w:t>Label = highest visual priority</w:t>
      </w:r>
    </w:p>
    <w:p w14:paraId="433E094F" w14:textId="77777777" w:rsidR="00094A2B" w:rsidRDefault="00587C0F">
      <w:pPr>
        <w:pStyle w:val="Compact"/>
        <w:numPr>
          <w:ilvl w:val="0"/>
          <w:numId w:val="11"/>
        </w:numPr>
      </w:pPr>
      <w:r>
        <w:t>Score = secondary priority</w:t>
      </w:r>
    </w:p>
    <w:p w14:paraId="3DF7F1DE" w14:textId="77777777" w:rsidR="00094A2B" w:rsidRDefault="00587C0F">
      <w:pPr>
        <w:pStyle w:val="Compact"/>
        <w:numPr>
          <w:ilvl w:val="0"/>
          <w:numId w:val="11"/>
        </w:numPr>
      </w:pPr>
      <w:r>
        <w:t>Supporting visuals = subtle, optional</w:t>
      </w:r>
    </w:p>
    <w:p w14:paraId="6C06A724" w14:textId="77777777" w:rsidR="00094A2B" w:rsidRDefault="00587C0F">
      <w:pPr>
        <w:pStyle w:val="FirstParagraph"/>
      </w:pPr>
      <w:r>
        <w:t xml:space="preserve">No more than </w:t>
      </w:r>
      <w:r>
        <w:rPr>
          <w:b/>
          <w:bCs/>
        </w:rPr>
        <w:t>3 major visual elements</w:t>
      </w:r>
      <w:r>
        <w:t xml:space="preserve"> at once.</w:t>
      </w:r>
    </w:p>
    <w:p w14:paraId="5646F395" w14:textId="77777777" w:rsidR="00094A2B" w:rsidRDefault="00E8390D">
      <w:r>
        <w:rPr>
          <w:noProof/>
        </w:rPr>
      </w:r>
      <w:r w:rsidR="00E8390D">
        <w:rPr>
          <w:noProof/>
        </w:rPr>
        <w:pict w14:anchorId="5AB5C4E4">
          <v:rect id="_x0000_i1035" alt="" style="width:468pt;height:.05pt;mso-width-percent:0;mso-height-percent:0;mso-width-percent:0;mso-height-percent:0" o:hralign="center" o:hrstd="t" o:hr="t"/>
        </w:pict>
      </w:r>
    </w:p>
    <w:p w14:paraId="7AFB7D5B" w14:textId="77777777" w:rsidR="00094A2B" w:rsidRDefault="00587C0F">
      <w:pPr>
        <w:pStyle w:val="Heading2"/>
      </w:pPr>
      <w:bookmarkStart w:id="19" w:name="X261620cc19d986acfc7d6e869e3dcd9378d28eb"/>
      <w:bookmarkEnd w:id="15"/>
      <w:bookmarkEnd w:id="18"/>
      <w:r>
        <w:t>9. Internal Market Evaluation Model (Abstract)</w:t>
      </w:r>
    </w:p>
    <w:p w14:paraId="1D051149" w14:textId="77777777" w:rsidR="00094A2B" w:rsidRDefault="00587C0F">
      <w:pPr>
        <w:pStyle w:val="Heading3"/>
      </w:pPr>
      <w:bookmarkStart w:id="20" w:name="important"/>
      <w:r>
        <w:t>IMPORTANT</w:t>
      </w:r>
    </w:p>
    <w:p w14:paraId="6674CF7F" w14:textId="77777777" w:rsidR="00094A2B" w:rsidRDefault="00587C0F">
      <w:pPr>
        <w:pStyle w:val="FirstParagraph"/>
      </w:pPr>
      <w:r>
        <w:t xml:space="preserve">The following are </w:t>
      </w:r>
      <w:r>
        <w:rPr>
          <w:b/>
          <w:bCs/>
        </w:rPr>
        <w:t>conceptual behaviors</w:t>
      </w:r>
      <w:r>
        <w:t>, not exposed indicators.</w:t>
      </w:r>
    </w:p>
    <w:p w14:paraId="2A491AE6" w14:textId="77777777" w:rsidR="00094A2B" w:rsidRDefault="00587C0F">
      <w:pPr>
        <w:pStyle w:val="BodyText"/>
      </w:pPr>
      <w:r>
        <w:t xml:space="preserve">The user must </w:t>
      </w:r>
      <w:r>
        <w:rPr>
          <w:b/>
          <w:bCs/>
        </w:rPr>
        <w:t>never see RSI, MACD, EMA, ATR lines</w:t>
      </w:r>
      <w:r>
        <w:t>.</w:t>
      </w:r>
    </w:p>
    <w:p w14:paraId="5199A246" w14:textId="77777777" w:rsidR="00094A2B" w:rsidRDefault="00E8390D">
      <w:r>
        <w:rPr>
          <w:noProof/>
        </w:rPr>
      </w:r>
      <w:r w:rsidR="00E8390D">
        <w:rPr>
          <w:noProof/>
        </w:rPr>
        <w:pict w14:anchorId="1150D765">
          <v:rect id="_x0000_i1036" alt="" style="width:468pt;height:.05pt;mso-width-percent:0;mso-height-percent:0;mso-width-percent:0;mso-height-percent:0" o:hralign="center" o:hrstd="t" o:hr="t"/>
        </w:pict>
      </w:r>
    </w:p>
    <w:p w14:paraId="0DF34487" w14:textId="77777777" w:rsidR="00094A2B" w:rsidRDefault="00587C0F">
      <w:pPr>
        <w:pStyle w:val="Heading3"/>
      </w:pPr>
      <w:bookmarkStart w:id="21" w:name="market-dimensions-evaluated"/>
      <w:bookmarkEnd w:id="20"/>
      <w:r>
        <w:t>9.1 Market Dimensions Evaluated</w:t>
      </w:r>
    </w:p>
    <w:p w14:paraId="4898B480" w14:textId="77777777" w:rsidR="00094A2B" w:rsidRDefault="00587C0F">
      <w:pPr>
        <w:pStyle w:val="FirstParagraph"/>
      </w:pPr>
      <w:r>
        <w:t xml:space="preserve">The engine evaluates four </w:t>
      </w:r>
      <w:proofErr w:type="gramStart"/>
      <w:r>
        <w:t>independent</w:t>
      </w:r>
      <w:proofErr w:type="gramEnd"/>
      <w:r>
        <w:t xml:space="preserve"> but interacting dimensions:</w:t>
      </w:r>
    </w:p>
    <w:p w14:paraId="25517AF4" w14:textId="77777777" w:rsidR="00094A2B" w:rsidRDefault="00587C0F">
      <w:pPr>
        <w:numPr>
          <w:ilvl w:val="0"/>
          <w:numId w:val="12"/>
        </w:numPr>
      </w:pPr>
      <w:r>
        <w:rPr>
          <w:b/>
          <w:bCs/>
        </w:rPr>
        <w:t>Directional Pressure</w:t>
      </w:r>
      <w:r>
        <w:br/>
        <w:t>Measures net price progress vs oscillation</w:t>
      </w:r>
    </w:p>
    <w:p w14:paraId="41E69E0F" w14:textId="77777777" w:rsidR="00094A2B" w:rsidRDefault="00587C0F">
      <w:pPr>
        <w:numPr>
          <w:ilvl w:val="0"/>
          <w:numId w:val="12"/>
        </w:numPr>
      </w:pPr>
      <w:r>
        <w:rPr>
          <w:b/>
          <w:bCs/>
        </w:rPr>
        <w:t>Volatility Regime</w:t>
      </w:r>
      <w:r>
        <w:br/>
        <w:t>Detects expansion vs compression environments</w:t>
      </w:r>
    </w:p>
    <w:p w14:paraId="474A80DD" w14:textId="77777777" w:rsidR="00094A2B" w:rsidRDefault="00587C0F">
      <w:pPr>
        <w:numPr>
          <w:ilvl w:val="0"/>
          <w:numId w:val="12"/>
        </w:numPr>
      </w:pPr>
      <w:r>
        <w:rPr>
          <w:b/>
          <w:bCs/>
        </w:rPr>
        <w:t>Trend Energy / Participation</w:t>
      </w:r>
      <w:r>
        <w:br/>
        <w:t>Identifies continuation vs decay</w:t>
      </w:r>
    </w:p>
    <w:p w14:paraId="103E68D8" w14:textId="77777777" w:rsidR="00094A2B" w:rsidRDefault="00587C0F">
      <w:pPr>
        <w:numPr>
          <w:ilvl w:val="0"/>
          <w:numId w:val="12"/>
        </w:numPr>
      </w:pPr>
      <w:r>
        <w:rPr>
          <w:b/>
          <w:bCs/>
        </w:rPr>
        <w:t>Risk Asymmetry</w:t>
      </w:r>
      <w:r>
        <w:br/>
        <w:t>Compares potential upside vs downside at current location</w:t>
      </w:r>
    </w:p>
    <w:p w14:paraId="4548CFAE" w14:textId="77777777" w:rsidR="00094A2B" w:rsidRDefault="00587C0F">
      <w:pPr>
        <w:pStyle w:val="FirstParagraph"/>
      </w:pPr>
      <w:r>
        <w:t>Each dimension contributes proportionally to the final score.</w:t>
      </w:r>
    </w:p>
    <w:p w14:paraId="15541C4E" w14:textId="77777777" w:rsidR="00094A2B" w:rsidRDefault="00E8390D">
      <w:r>
        <w:rPr>
          <w:noProof/>
        </w:rPr>
      </w:r>
      <w:r w:rsidR="00E8390D">
        <w:rPr>
          <w:noProof/>
        </w:rPr>
        <w:pict w14:anchorId="0647B239">
          <v:rect id="_x0000_i1037" alt="" style="width:468pt;height:.05pt;mso-width-percent:0;mso-height-percent:0;mso-width-percent:0;mso-height-percent:0" o:hralign="center" o:hrstd="t" o:hr="t"/>
        </w:pict>
      </w:r>
    </w:p>
    <w:p w14:paraId="56CEAADC" w14:textId="77777777" w:rsidR="00094A2B" w:rsidRDefault="00587C0F">
      <w:pPr>
        <w:pStyle w:val="Heading2"/>
      </w:pPr>
      <w:bookmarkStart w:id="22" w:name="behavioral-design-rules-critical"/>
      <w:bookmarkEnd w:id="19"/>
      <w:bookmarkEnd w:id="21"/>
      <w:r>
        <w:t>10. Behavioral Design Rules (Critical)</w:t>
      </w:r>
    </w:p>
    <w:p w14:paraId="517DA18C" w14:textId="77777777" w:rsidR="00094A2B" w:rsidRDefault="00587C0F">
      <w:pPr>
        <w:pStyle w:val="FirstParagraph"/>
      </w:pPr>
      <w:r>
        <w:t>To avoid the past “no‑trade” problem:</w:t>
      </w:r>
    </w:p>
    <w:p w14:paraId="5BAB59B7" w14:textId="77777777" w:rsidR="00094A2B" w:rsidRDefault="00587C0F">
      <w:pPr>
        <w:pStyle w:val="Compact"/>
        <w:numPr>
          <w:ilvl w:val="0"/>
          <w:numId w:val="13"/>
        </w:numPr>
      </w:pPr>
      <w:r>
        <w:t>No hard blocking conditions</w:t>
      </w:r>
    </w:p>
    <w:p w14:paraId="579DA3DC" w14:textId="77777777" w:rsidR="00094A2B" w:rsidRDefault="00587C0F">
      <w:pPr>
        <w:pStyle w:val="Compact"/>
        <w:numPr>
          <w:ilvl w:val="0"/>
          <w:numId w:val="13"/>
        </w:numPr>
      </w:pPr>
      <w:r>
        <w:t>No all‑conditions‑must‑pass logic</w:t>
      </w:r>
    </w:p>
    <w:p w14:paraId="55A41BB7" w14:textId="77777777" w:rsidR="00094A2B" w:rsidRDefault="00587C0F">
      <w:pPr>
        <w:pStyle w:val="Compact"/>
        <w:numPr>
          <w:ilvl w:val="0"/>
          <w:numId w:val="13"/>
        </w:numPr>
      </w:pPr>
      <w:r>
        <w:t>No binary gating</w:t>
      </w:r>
    </w:p>
    <w:p w14:paraId="13C831CC" w14:textId="77777777" w:rsidR="00094A2B" w:rsidRDefault="00587C0F">
      <w:pPr>
        <w:pStyle w:val="Compact"/>
        <w:numPr>
          <w:ilvl w:val="0"/>
          <w:numId w:val="13"/>
        </w:numPr>
      </w:pPr>
      <w:r>
        <w:t>Overlapping states are allowed</w:t>
      </w:r>
    </w:p>
    <w:p w14:paraId="022B0B52" w14:textId="77777777" w:rsidR="00094A2B" w:rsidRDefault="00587C0F">
      <w:pPr>
        <w:pStyle w:val="FirstParagraph"/>
      </w:pPr>
      <w:r>
        <w:lastRenderedPageBreak/>
        <w:t xml:space="preserve">The system must </w:t>
      </w:r>
      <w:r>
        <w:rPr>
          <w:b/>
          <w:bCs/>
        </w:rPr>
        <w:t>always output a state</w:t>
      </w:r>
      <w:r>
        <w:t>, even on poor days.</w:t>
      </w:r>
    </w:p>
    <w:p w14:paraId="485E02B5" w14:textId="77777777" w:rsidR="00094A2B" w:rsidRDefault="00E8390D">
      <w:r>
        <w:rPr>
          <w:noProof/>
        </w:rPr>
      </w:r>
      <w:r w:rsidR="00E8390D">
        <w:rPr>
          <w:noProof/>
        </w:rPr>
        <w:pict w14:anchorId="5E34704A">
          <v:rect id="_x0000_i1038" alt="" style="width:468pt;height:.05pt;mso-width-percent:0;mso-height-percent:0;mso-width-percent:0;mso-height-percent:0" o:hralign="center" o:hrstd="t" o:hr="t"/>
        </w:pict>
      </w:r>
    </w:p>
    <w:p w14:paraId="599AC341" w14:textId="77777777" w:rsidR="00094A2B" w:rsidRDefault="00587C0F">
      <w:pPr>
        <w:pStyle w:val="Heading2"/>
      </w:pPr>
      <w:bookmarkStart w:id="23" w:name="timeframe-symbol-handling"/>
      <w:bookmarkEnd w:id="22"/>
      <w:r>
        <w:t>11. Timeframe &amp; Symbol Handling</w:t>
      </w:r>
    </w:p>
    <w:p w14:paraId="21417BDE" w14:textId="77777777" w:rsidR="00094A2B" w:rsidRDefault="00587C0F">
      <w:pPr>
        <w:pStyle w:val="Compact"/>
        <w:numPr>
          <w:ilvl w:val="0"/>
          <w:numId w:val="14"/>
        </w:numPr>
      </w:pPr>
      <w:r>
        <w:t xml:space="preserve">Indicator reads </w:t>
      </w:r>
      <w:r>
        <w:rPr>
          <w:b/>
          <w:bCs/>
        </w:rPr>
        <w:t>only the active chart</w:t>
      </w:r>
    </w:p>
    <w:p w14:paraId="6839B2A9" w14:textId="77777777" w:rsidR="00094A2B" w:rsidRDefault="00587C0F">
      <w:pPr>
        <w:pStyle w:val="Compact"/>
        <w:numPr>
          <w:ilvl w:val="0"/>
          <w:numId w:val="14"/>
        </w:numPr>
      </w:pPr>
      <w:r>
        <w:t>No normalization across symbols</w:t>
      </w:r>
    </w:p>
    <w:p w14:paraId="0887F462" w14:textId="77777777" w:rsidR="00094A2B" w:rsidRDefault="00587C0F">
      <w:pPr>
        <w:pStyle w:val="Compact"/>
        <w:numPr>
          <w:ilvl w:val="0"/>
          <w:numId w:val="14"/>
        </w:numPr>
      </w:pPr>
      <w:r>
        <w:t>Each symbol is evaluated relative to its own behavior</w:t>
      </w:r>
    </w:p>
    <w:p w14:paraId="62B71829" w14:textId="77777777" w:rsidR="00094A2B" w:rsidRDefault="00587C0F">
      <w:pPr>
        <w:pStyle w:val="Compact"/>
        <w:numPr>
          <w:ilvl w:val="0"/>
          <w:numId w:val="14"/>
        </w:numPr>
      </w:pPr>
      <w:r>
        <w:t>Works on all timeframes (1m → daily)</w:t>
      </w:r>
    </w:p>
    <w:p w14:paraId="2526BE74" w14:textId="77777777" w:rsidR="00094A2B" w:rsidRDefault="00E8390D">
      <w:r>
        <w:rPr>
          <w:noProof/>
        </w:rPr>
      </w:r>
      <w:r w:rsidR="00E8390D">
        <w:rPr>
          <w:noProof/>
        </w:rPr>
        <w:pict w14:anchorId="76DA53A4">
          <v:rect id="_x0000_i1039" alt="" style="width:468pt;height:.05pt;mso-width-percent:0;mso-height-percent:0;mso-width-percent:0;mso-height-percent:0" o:hralign="center" o:hrstd="t" o:hr="t"/>
        </w:pict>
      </w:r>
    </w:p>
    <w:p w14:paraId="5A652EA6" w14:textId="77777777" w:rsidR="00094A2B" w:rsidRDefault="00587C0F">
      <w:pPr>
        <w:pStyle w:val="Heading2"/>
      </w:pPr>
      <w:bookmarkStart w:id="24" w:name="performance-responsiveness"/>
      <w:bookmarkEnd w:id="23"/>
      <w:r>
        <w:t>12. Performance &amp; Responsiveness</w:t>
      </w:r>
    </w:p>
    <w:p w14:paraId="76BB6D38" w14:textId="77777777" w:rsidR="00094A2B" w:rsidRDefault="00587C0F">
      <w:pPr>
        <w:pStyle w:val="Compact"/>
        <w:numPr>
          <w:ilvl w:val="0"/>
          <w:numId w:val="15"/>
        </w:numPr>
      </w:pPr>
      <w:r>
        <w:t>Output should not flip excessively</w:t>
      </w:r>
    </w:p>
    <w:p w14:paraId="0F59F229" w14:textId="77777777" w:rsidR="00094A2B" w:rsidRDefault="00587C0F">
      <w:pPr>
        <w:pStyle w:val="Compact"/>
        <w:numPr>
          <w:ilvl w:val="0"/>
          <w:numId w:val="15"/>
        </w:numPr>
      </w:pPr>
      <w:r>
        <w:t xml:space="preserve">Labels should favor </w:t>
      </w:r>
      <w:r>
        <w:rPr>
          <w:b/>
          <w:bCs/>
        </w:rPr>
        <w:t>stability over reactivity</w:t>
      </w:r>
    </w:p>
    <w:p w14:paraId="08ABC944" w14:textId="77777777" w:rsidR="00094A2B" w:rsidRDefault="00587C0F">
      <w:pPr>
        <w:pStyle w:val="Compact"/>
        <w:numPr>
          <w:ilvl w:val="0"/>
          <w:numId w:val="15"/>
        </w:numPr>
      </w:pPr>
      <w:r>
        <w:t>Score should change faster than label</w:t>
      </w:r>
    </w:p>
    <w:p w14:paraId="4154FC49" w14:textId="77777777" w:rsidR="00094A2B" w:rsidRDefault="00E8390D">
      <w:r>
        <w:rPr>
          <w:noProof/>
        </w:rPr>
      </w:r>
      <w:r w:rsidR="00E8390D">
        <w:rPr>
          <w:noProof/>
        </w:rPr>
        <w:pict w14:anchorId="7C5701B8">
          <v:rect id="_x0000_i1040" alt="" style="width:468pt;height:.05pt;mso-width-percent:0;mso-height-percent:0;mso-width-percent:0;mso-height-percent:0" o:hralign="center" o:hrstd="t" o:hr="t"/>
        </w:pict>
      </w:r>
    </w:p>
    <w:p w14:paraId="745F5A67" w14:textId="77777777" w:rsidR="00094A2B" w:rsidRDefault="00587C0F">
      <w:pPr>
        <w:pStyle w:val="Heading2"/>
      </w:pPr>
      <w:bookmarkStart w:id="25" w:name="user-controls-phase-1-minimal"/>
      <w:bookmarkEnd w:id="24"/>
      <w:r>
        <w:t>13. User Controls (Phase 1 – Minimal)</w:t>
      </w:r>
    </w:p>
    <w:p w14:paraId="091C121D" w14:textId="77777777" w:rsidR="00094A2B" w:rsidRDefault="00587C0F">
      <w:pPr>
        <w:pStyle w:val="Compact"/>
        <w:numPr>
          <w:ilvl w:val="0"/>
          <w:numId w:val="16"/>
        </w:numPr>
      </w:pPr>
      <w:r>
        <w:t>Enable / disable background shading</w:t>
      </w:r>
    </w:p>
    <w:p w14:paraId="14EF9D35" w14:textId="77777777" w:rsidR="00094A2B" w:rsidRDefault="00587C0F">
      <w:pPr>
        <w:pStyle w:val="Compact"/>
        <w:numPr>
          <w:ilvl w:val="0"/>
          <w:numId w:val="16"/>
        </w:numPr>
      </w:pPr>
      <w:r>
        <w:t>Enable / disable score display</w:t>
      </w:r>
    </w:p>
    <w:p w14:paraId="476EB659" w14:textId="77777777" w:rsidR="00094A2B" w:rsidRDefault="00587C0F">
      <w:pPr>
        <w:pStyle w:val="FirstParagraph"/>
      </w:pPr>
      <w:r>
        <w:t>No advanced tuning or parameter optimization.</w:t>
      </w:r>
    </w:p>
    <w:p w14:paraId="7D5641BB" w14:textId="77777777" w:rsidR="00094A2B" w:rsidRDefault="00E8390D">
      <w:r>
        <w:rPr>
          <w:noProof/>
        </w:rPr>
      </w:r>
      <w:r w:rsidR="00E8390D">
        <w:rPr>
          <w:noProof/>
        </w:rPr>
        <w:pict w14:anchorId="357BF0A1">
          <v:rect id="_x0000_i1041" alt="" style="width:468pt;height:.05pt;mso-width-percent:0;mso-height-percent:0;mso-width-percent:0;mso-height-percent:0" o:hralign="center" o:hrstd="t" o:hr="t"/>
        </w:pict>
      </w:r>
    </w:p>
    <w:p w14:paraId="7124951F" w14:textId="77777777" w:rsidR="00094A2B" w:rsidRDefault="00587C0F">
      <w:pPr>
        <w:pStyle w:val="Heading2"/>
      </w:pPr>
      <w:bookmarkStart w:id="26" w:name="compliance-risk-positioning"/>
      <w:bookmarkEnd w:id="25"/>
      <w:r>
        <w:t>14. Compliance &amp; Risk Positioning</w:t>
      </w:r>
    </w:p>
    <w:p w14:paraId="2379BF93" w14:textId="77777777" w:rsidR="00094A2B" w:rsidRDefault="00587C0F">
      <w:pPr>
        <w:pStyle w:val="Compact"/>
        <w:numPr>
          <w:ilvl w:val="0"/>
          <w:numId w:val="17"/>
        </w:numPr>
      </w:pPr>
      <w:r>
        <w:t>No profit guarantees</w:t>
      </w:r>
    </w:p>
    <w:p w14:paraId="10B720E1" w14:textId="77777777" w:rsidR="00094A2B" w:rsidRDefault="00587C0F">
      <w:pPr>
        <w:pStyle w:val="Compact"/>
        <w:numPr>
          <w:ilvl w:val="0"/>
          <w:numId w:val="17"/>
        </w:numPr>
      </w:pPr>
      <w:r>
        <w:t>No win‑rate claims</w:t>
      </w:r>
    </w:p>
    <w:p w14:paraId="5C750D3C" w14:textId="77777777" w:rsidR="00094A2B" w:rsidRDefault="00587C0F">
      <w:pPr>
        <w:pStyle w:val="Compact"/>
        <w:numPr>
          <w:ilvl w:val="0"/>
          <w:numId w:val="17"/>
        </w:numPr>
      </w:pPr>
      <w:r>
        <w:t>Clear disclaimer: decision support only</w:t>
      </w:r>
    </w:p>
    <w:p w14:paraId="1189AB2A" w14:textId="77777777" w:rsidR="00094A2B" w:rsidRDefault="00587C0F">
      <w:pPr>
        <w:pStyle w:val="Compact"/>
        <w:numPr>
          <w:ilvl w:val="0"/>
          <w:numId w:val="17"/>
        </w:numPr>
      </w:pPr>
      <w:r>
        <w:t>Not designed for news/event trading</w:t>
      </w:r>
    </w:p>
    <w:p w14:paraId="6978211A" w14:textId="77777777" w:rsidR="00094A2B" w:rsidRDefault="00E8390D">
      <w:r>
        <w:rPr>
          <w:noProof/>
        </w:rPr>
      </w:r>
      <w:r w:rsidR="00E8390D">
        <w:rPr>
          <w:noProof/>
        </w:rPr>
        <w:pict w14:anchorId="7F61D88D">
          <v:rect id="_x0000_i1042" alt="" style="width:468pt;height:.05pt;mso-width-percent:0;mso-height-percent:0;mso-width-percent:0;mso-height-percent:0" o:hralign="center" o:hrstd="t" o:hr="t"/>
        </w:pict>
      </w:r>
    </w:p>
    <w:p w14:paraId="409AE126" w14:textId="77777777" w:rsidR="00094A2B" w:rsidRDefault="00587C0F">
      <w:pPr>
        <w:pStyle w:val="Heading2"/>
      </w:pPr>
      <w:bookmarkStart w:id="27" w:name="success-criteria-phase-1"/>
      <w:bookmarkEnd w:id="26"/>
      <w:r>
        <w:t>15. Success Criteria (Phase 1)</w:t>
      </w:r>
    </w:p>
    <w:p w14:paraId="10BC4E91" w14:textId="77777777" w:rsidR="00094A2B" w:rsidRDefault="00587C0F">
      <w:pPr>
        <w:pStyle w:val="FirstParagraph"/>
      </w:pPr>
      <w:r>
        <w:t>The product is successful if: - Traders understand it within 30 seconds - It helps users avoid bad trades - It reduces overtrading behavior - Users apply it alongside existing tools</w:t>
      </w:r>
    </w:p>
    <w:p w14:paraId="231EC966" w14:textId="77777777" w:rsidR="00094A2B" w:rsidRDefault="00E8390D">
      <w:r>
        <w:rPr>
          <w:noProof/>
        </w:rPr>
      </w:r>
      <w:r w:rsidR="00E8390D">
        <w:rPr>
          <w:noProof/>
        </w:rPr>
        <w:pict w14:anchorId="3C92E8B8">
          <v:rect id="_x0000_i1043" alt="" style="width:468pt;height:.05pt;mso-width-percent:0;mso-height-percent:0;mso-width-percent:0;mso-height-percent:0" o:hralign="center" o:hrstd="t" o:hr="t"/>
        </w:pict>
      </w:r>
    </w:p>
    <w:p w14:paraId="6F2114C9" w14:textId="77777777" w:rsidR="00094A2B" w:rsidRDefault="00587C0F">
      <w:pPr>
        <w:pStyle w:val="Heading2"/>
      </w:pPr>
      <w:bookmarkStart w:id="28" w:name="explicit-nongoals-locked"/>
      <w:bookmarkEnd w:id="27"/>
      <w:r>
        <w:t>16. Explicit Non‑Goals (Locked)</w:t>
      </w:r>
    </w:p>
    <w:p w14:paraId="63274ED7" w14:textId="77777777" w:rsidR="00094A2B" w:rsidRDefault="00587C0F">
      <w:pPr>
        <w:pStyle w:val="FirstParagraph"/>
      </w:pPr>
      <w:r>
        <w:t xml:space="preserve">The product will </w:t>
      </w:r>
      <w:r>
        <w:rPr>
          <w:b/>
          <w:bCs/>
        </w:rPr>
        <w:t>never</w:t>
      </w:r>
      <w:r>
        <w:t xml:space="preserve">: - Pick stocks - Generate trade signals - Predict price - Replace trader judgment - Compete with </w:t>
      </w:r>
      <w:proofErr w:type="spellStart"/>
      <w:r>
        <w:t>TradingView</w:t>
      </w:r>
      <w:proofErr w:type="spellEnd"/>
    </w:p>
    <w:p w14:paraId="760876A1" w14:textId="77777777" w:rsidR="00094A2B" w:rsidRDefault="00E8390D">
      <w:r>
        <w:rPr>
          <w:noProof/>
        </w:rPr>
        <w:lastRenderedPageBreak/>
      </w:r>
      <w:r w:rsidR="00E8390D">
        <w:rPr>
          <w:noProof/>
        </w:rPr>
        <w:pict w14:anchorId="0163DC49">
          <v:rect id="_x0000_i1044" alt="" style="width:468pt;height:.05pt;mso-width-percent:0;mso-height-percent:0;mso-width-percent:0;mso-height-percent:0" o:hralign="center" o:hrstd="t" o:hr="t"/>
        </w:pict>
      </w:r>
    </w:p>
    <w:p w14:paraId="3DBBE73D" w14:textId="77777777" w:rsidR="00094A2B" w:rsidRDefault="00587C0F">
      <w:pPr>
        <w:pStyle w:val="Heading2"/>
      </w:pPr>
      <w:bookmarkStart w:id="29" w:name="future-expansion-not-in-scope"/>
      <w:bookmarkEnd w:id="28"/>
      <w:r>
        <w:t>17. Future Expansion (Not in Scope)</w:t>
      </w:r>
    </w:p>
    <w:p w14:paraId="6CA2E699" w14:textId="77777777" w:rsidR="00094A2B" w:rsidRDefault="00587C0F">
      <w:pPr>
        <w:pStyle w:val="Compact"/>
        <w:numPr>
          <w:ilvl w:val="0"/>
          <w:numId w:val="18"/>
        </w:numPr>
      </w:pPr>
      <w:r>
        <w:t>Scanners / watchlist ranking</w:t>
      </w:r>
    </w:p>
    <w:p w14:paraId="40757AD0" w14:textId="77777777" w:rsidR="00094A2B" w:rsidRDefault="00587C0F">
      <w:pPr>
        <w:pStyle w:val="Compact"/>
        <w:numPr>
          <w:ilvl w:val="0"/>
          <w:numId w:val="18"/>
        </w:numPr>
      </w:pPr>
      <w:r>
        <w:t>Multi‑symbol dashboards</w:t>
      </w:r>
    </w:p>
    <w:p w14:paraId="75F54185" w14:textId="77777777" w:rsidR="00094A2B" w:rsidRDefault="00587C0F">
      <w:pPr>
        <w:pStyle w:val="Compact"/>
        <w:numPr>
          <w:ilvl w:val="0"/>
          <w:numId w:val="18"/>
        </w:numPr>
      </w:pPr>
      <w:r>
        <w:t>Bot integration (IBKR or others)</w:t>
      </w:r>
    </w:p>
    <w:p w14:paraId="5CDF81DA" w14:textId="77777777" w:rsidR="00094A2B" w:rsidRDefault="00587C0F">
      <w:pPr>
        <w:pStyle w:val="Compact"/>
        <w:numPr>
          <w:ilvl w:val="0"/>
          <w:numId w:val="18"/>
        </w:numPr>
      </w:pPr>
      <w:r>
        <w:t xml:space="preserve">AI optimization or </w:t>
      </w:r>
      <w:proofErr w:type="spellStart"/>
      <w:r>
        <w:t>backtesting</w:t>
      </w:r>
      <w:proofErr w:type="spellEnd"/>
    </w:p>
    <w:p w14:paraId="05856FD3" w14:textId="77777777" w:rsidR="00094A2B" w:rsidRDefault="00587C0F">
      <w:pPr>
        <w:pStyle w:val="FirstParagraph"/>
      </w:pPr>
      <w:r>
        <w:t>These require separate validation.</w:t>
      </w:r>
    </w:p>
    <w:p w14:paraId="6B1FAD25" w14:textId="77777777" w:rsidR="00094A2B" w:rsidRDefault="00E8390D">
      <w:r>
        <w:rPr>
          <w:noProof/>
        </w:rPr>
      </w:r>
      <w:r w:rsidR="00E8390D">
        <w:rPr>
          <w:noProof/>
        </w:rPr>
        <w:pict w14:anchorId="7C50E26F">
          <v:rect id="_x0000_i1045" alt="" style="width:468pt;height:.05pt;mso-width-percent:0;mso-height-percent:0;mso-width-percent:0;mso-height-percent:0" o:hralign="center" o:hrstd="t" o:hr="t"/>
        </w:pict>
      </w:r>
    </w:p>
    <w:p w14:paraId="394246D3" w14:textId="77777777" w:rsidR="00094A2B" w:rsidRDefault="00587C0F">
      <w:pPr>
        <w:pStyle w:val="Heading2"/>
      </w:pPr>
      <w:bookmarkStart w:id="30" w:name="status"/>
      <w:bookmarkEnd w:id="29"/>
      <w:r>
        <w:t>18. Status</w:t>
      </w:r>
    </w:p>
    <w:p w14:paraId="3EA3D329" w14:textId="77777777" w:rsidR="00094A2B" w:rsidRDefault="00587C0F">
      <w:pPr>
        <w:pStyle w:val="FirstParagraph"/>
      </w:pPr>
      <w:r>
        <w:rPr>
          <w:b/>
          <w:bCs/>
        </w:rPr>
        <w:t>Document Status:</w:t>
      </w:r>
      <w:r>
        <w:t xml:space="preserve"> Frozen – Phase 1</w:t>
      </w:r>
      <w:r>
        <w:br/>
      </w:r>
      <w:r>
        <w:rPr>
          <w:b/>
          <w:bCs/>
        </w:rPr>
        <w:t>Changes require explicit discussion and revision</w:t>
      </w:r>
    </w:p>
    <w:bookmarkEnd w:id="0"/>
    <w:bookmarkEnd w:id="30"/>
    <w:p w14:paraId="50BAD403" w14:textId="129CC693" w:rsidR="00094A2B" w:rsidRDefault="00094A2B">
      <w:pPr>
        <w:pStyle w:val="FirstParagraph"/>
      </w:pPr>
    </w:p>
    <w:sectPr w:rsidR="00094A2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84A4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1E5F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3F26E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78995205">
    <w:abstractNumId w:val="0"/>
  </w:num>
  <w:num w:numId="2" w16cid:durableId="1438207921">
    <w:abstractNumId w:val="1"/>
  </w:num>
  <w:num w:numId="3" w16cid:durableId="1234244226">
    <w:abstractNumId w:val="1"/>
  </w:num>
  <w:num w:numId="4" w16cid:durableId="1205100697">
    <w:abstractNumId w:val="1"/>
  </w:num>
  <w:num w:numId="5" w16cid:durableId="1892303822">
    <w:abstractNumId w:val="1"/>
  </w:num>
  <w:num w:numId="6" w16cid:durableId="720372971">
    <w:abstractNumId w:val="1"/>
  </w:num>
  <w:num w:numId="7" w16cid:durableId="1789086715">
    <w:abstractNumId w:val="1"/>
  </w:num>
  <w:num w:numId="8" w16cid:durableId="590565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257530">
    <w:abstractNumId w:val="1"/>
  </w:num>
  <w:num w:numId="10" w16cid:durableId="1972904656">
    <w:abstractNumId w:val="1"/>
  </w:num>
  <w:num w:numId="11" w16cid:durableId="18770406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07322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17764097">
    <w:abstractNumId w:val="1"/>
  </w:num>
  <w:num w:numId="14" w16cid:durableId="1927957599">
    <w:abstractNumId w:val="1"/>
  </w:num>
  <w:num w:numId="15" w16cid:durableId="798111551">
    <w:abstractNumId w:val="1"/>
  </w:num>
  <w:num w:numId="16" w16cid:durableId="1546215978">
    <w:abstractNumId w:val="1"/>
  </w:num>
  <w:num w:numId="17" w16cid:durableId="378746438">
    <w:abstractNumId w:val="1"/>
  </w:num>
  <w:num w:numId="18" w16cid:durableId="727727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A2B"/>
    <w:rsid w:val="0003351D"/>
    <w:rsid w:val="00094A2B"/>
    <w:rsid w:val="00486A83"/>
    <w:rsid w:val="00587C0F"/>
    <w:rsid w:val="008174A9"/>
    <w:rsid w:val="009522B2"/>
    <w:rsid w:val="009F0E56"/>
    <w:rsid w:val="00D8193B"/>
    <w:rsid w:val="00E8390D"/>
    <w:rsid w:val="00F03A61"/>
    <w:rsid w:val="00FD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149C8626"/>
  <w15:docId w15:val="{E92055A2-4467-924B-A483-F941C24AE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838</Words>
  <Characters>4912</Characters>
  <Application>Microsoft Office Word</Application>
  <DocSecurity>0</DocSecurity>
  <Lines>163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Office</cp:lastModifiedBy>
  <cp:revision>6</cp:revision>
  <dcterms:created xsi:type="dcterms:W3CDTF">2025-12-27T21:48:00Z</dcterms:created>
  <dcterms:modified xsi:type="dcterms:W3CDTF">2025-12-29T07:36:00Z</dcterms:modified>
</cp:coreProperties>
</file>