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u w:val="single"/>
        </w:rPr>
      </w:pPr>
      <w:r w:rsidDel="00000000" w:rsidR="00000000" w:rsidRPr="00000000">
        <w:rPr>
          <w:u w:val="single"/>
          <w:rtl w:val="0"/>
        </w:rPr>
        <w:t xml:space="preserve">User Manual: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****Disclaimer: </w:t>
      </w:r>
      <w:r w:rsidDel="00000000" w:rsidR="00000000" w:rsidRPr="00000000">
        <w:rPr>
          <w:rFonts w:ascii="Calibri" w:cs="Calibri" w:eastAsia="Calibri" w:hAnsi="Calibri"/>
          <w:rtl w:val="0"/>
        </w:rPr>
        <w:t xml:space="preserve">Tabetai食べたい Inc</w:t>
      </w:r>
      <w:r w:rsidDel="00000000" w:rsidR="00000000" w:rsidRPr="00000000">
        <w:rPr>
          <w:rtl w:val="0"/>
        </w:rPr>
        <w:t xml:space="preserve"> is not responsible for any ulcers, bleeding, headaches, dizziness, loss of eyesight, loss of hearing, epilepsy, seizures, strokes, or any other medical conditions caused due to the play of this game.  If you have any questions regarding your personal health, please contact your doctor to inquire if </w:t>
      </w:r>
      <w:r w:rsidDel="00000000" w:rsidR="00000000" w:rsidRPr="00000000">
        <w:rPr>
          <w:rFonts w:ascii="Calibri" w:cs="Calibri" w:eastAsia="Calibri" w:hAnsi="Calibri"/>
          <w:rtl w:val="0"/>
        </w:rPr>
        <w:t xml:space="preserve">Tabetai食べたい Inc games are appropriate you or your child.  Please note that Tabetai食べたい Inc encourages users to be at least but not limited to 6 years of age.  </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Run Pokenom by Tabetai Inc. on your device.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game will automatically begin.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 arrow keys to control your character, Munchlax.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Berries spawn once every 1.25 seconds.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Your objective is to eat these berries.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Eat these berries by moving Munchlax to the position of the targeted berry, and Munchlax will eat it, causing the berry to disappear, as well rewarding exp. points to Munchlax who needs exp. points to level up.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Monsters are disguised as berries, and will only become monsters after Munchlax moves into the position of the disguised berry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When encountering a monster, a battle screen will appear, where the user now controls Munchlax (battle mode)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Defeat the monster as quickly as possible using attack moves or heal, based on the scenario.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 battle moves by typing the move.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Different monsters have different characteristics, some stronger and tougher to beat than others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