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B260" w14:textId="77777777" w:rsidR="003151A7" w:rsidRDefault="003151A7">
      <w:pPr>
        <w:spacing w:after="180"/>
      </w:pPr>
    </w:p>
    <w:p w14:paraId="7304F76C" w14:textId="77777777" w:rsidR="003151A7" w:rsidRDefault="00000000">
      <w:pPr>
        <w:spacing w:after="60"/>
        <w:jc w:val="center"/>
      </w:pPr>
      <w:r>
        <w:rPr>
          <w:b/>
          <w:bCs/>
          <w:color w:val="64748B"/>
          <w:sz w:val="13"/>
          <w:szCs w:val="13"/>
        </w:rPr>
        <w:t>QUANTITATIVE METHODS REPORT</w:t>
      </w:r>
    </w:p>
    <w:p w14:paraId="2094CF51" w14:textId="016A9740" w:rsidR="003151A7" w:rsidRDefault="00000000">
      <w:pPr>
        <w:spacing w:after="100"/>
        <w:jc w:val="center"/>
      </w:pPr>
      <w:r>
        <w:rPr>
          <w:b/>
          <w:bCs/>
          <w:color w:val="0D2B5E"/>
          <w:sz w:val="52"/>
          <w:szCs w:val="52"/>
        </w:rPr>
        <w:t>Behind the Scores</w:t>
      </w:r>
    </w:p>
    <w:p w14:paraId="05D67244" w14:textId="36B4F935" w:rsidR="003151A7" w:rsidRPr="004722EE" w:rsidRDefault="004722EE" w:rsidP="004722EE">
      <w:pPr>
        <w:spacing w:after="100"/>
        <w:jc w:val="center"/>
        <w:rPr>
          <w:color w:val="2C3E50"/>
          <w:sz w:val="24"/>
          <w:szCs w:val="24"/>
        </w:rPr>
      </w:pPr>
      <w:r>
        <w:rPr>
          <w:color w:val="2C3E50"/>
          <w:sz w:val="24"/>
          <w:szCs w:val="24"/>
        </w:rPr>
        <w:t>Investigating the Factors Contributing to the Variation in NYC Students’ Performance on the New York State Regents Exams</w:t>
      </w:r>
    </w:p>
    <w:p w14:paraId="0EEA5048" w14:textId="77777777" w:rsidR="003151A7" w:rsidRDefault="003151A7">
      <w:pPr>
        <w:pBdr>
          <w:bottom w:val="single" w:sz="6" w:space="1" w:color="1A56C4"/>
        </w:pBdr>
        <w:spacing w:before="60" w:after="60"/>
      </w:pPr>
    </w:p>
    <w:p w14:paraId="4E1688C3" w14:textId="77777777" w:rsidR="003151A7" w:rsidRDefault="003151A7">
      <w:pPr>
        <w:spacing w:after="60"/>
      </w:pPr>
    </w:p>
    <w:p w14:paraId="518979EE" w14:textId="77777777" w:rsidR="003151A7" w:rsidRDefault="00000000">
      <w:pPr>
        <w:spacing w:after="40" w:line="400" w:lineRule="auto"/>
        <w:jc w:val="center"/>
      </w:pPr>
      <w:r>
        <w:rPr>
          <w:b/>
          <w:bCs/>
          <w:color w:val="1A1A2E"/>
        </w:rPr>
        <w:t>Vi Kovacevic</w:t>
      </w:r>
    </w:p>
    <w:p w14:paraId="2217782E" w14:textId="77777777" w:rsidR="003151A7" w:rsidRDefault="00000000">
      <w:pPr>
        <w:spacing w:after="40" w:line="400" w:lineRule="auto"/>
        <w:jc w:val="center"/>
      </w:pPr>
      <w:r>
        <w:rPr>
          <w:color w:val="64748B"/>
          <w:sz w:val="20"/>
          <w:szCs w:val="20"/>
        </w:rPr>
        <w:t>M.S. Data Analysis and Visualization  ·  CUNY Graduate Center</w:t>
      </w:r>
    </w:p>
    <w:p w14:paraId="796A3295" w14:textId="77777777" w:rsidR="003151A7" w:rsidRDefault="00000000">
      <w:pPr>
        <w:spacing w:after="200" w:line="400" w:lineRule="auto"/>
        <w:jc w:val="center"/>
      </w:pPr>
      <w:r>
        <w:rPr>
          <w:color w:val="64748B"/>
          <w:sz w:val="20"/>
          <w:szCs w:val="20"/>
        </w:rPr>
        <w:t>Adviser: Dr. Howard Everson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151A7" w14:paraId="48139558" w14:textId="77777777" w:rsidTr="00A15F74">
        <w:tblPrEx>
          <w:tblCellMar>
            <w:top w:w="0" w:type="dxa"/>
            <w:bottom w:w="0" w:type="dxa"/>
          </w:tblCellMar>
        </w:tblPrEx>
        <w:trPr>
          <w:trHeight w:val="3727"/>
        </w:trPr>
        <w:tc>
          <w:tcPr>
            <w:tcW w:w="200" w:type="dxa"/>
            <w:tcBorders>
              <w:top w:val="none" w:sz="0" w:space="0" w:color="FFFFFF"/>
              <w:left w:val="none" w:sz="0" w:space="0" w:color="FFFFFF"/>
              <w:bottom w:val="none" w:sz="0" w:space="0" w:color="FFFFFF"/>
              <w:right w:val="single" w:sz="20" w:space="0" w:color="1A56C4"/>
            </w:tcBorders>
          </w:tcPr>
          <w:p w14:paraId="7A236EF8" w14:textId="77777777" w:rsidR="003151A7" w:rsidRDefault="003151A7"/>
        </w:tc>
        <w:tc>
          <w:tcPr>
            <w:tcW w:w="9160" w:type="dxa"/>
            <w:tcBorders>
              <w:top w:val="none" w:sz="0" w:space="0" w:color="FFFFFF"/>
              <w:left w:val="none" w:sz="0" w:space="0" w:color="FFFFFF"/>
              <w:bottom w:val="none" w:sz="0" w:space="0" w:color="FFFFFF"/>
              <w:right w:val="none" w:sz="0" w:space="0" w:color="FFFFFF"/>
            </w:tcBorders>
            <w:shd w:val="clear" w:color="auto" w:fill="EBF4FF"/>
            <w:tcMar>
              <w:top w:w="140" w:type="dxa"/>
              <w:left w:w="220" w:type="dxa"/>
              <w:bottom w:w="140" w:type="dxa"/>
              <w:right w:w="220" w:type="dxa"/>
            </w:tcMar>
          </w:tcPr>
          <w:p w14:paraId="3C650F37" w14:textId="77777777" w:rsidR="003151A7" w:rsidRDefault="00000000">
            <w:pPr>
              <w:spacing w:after="60"/>
            </w:pPr>
            <w:r>
              <w:rPr>
                <w:b/>
                <w:bCs/>
                <w:color w:val="1A56C4"/>
                <w:sz w:val="20"/>
                <w:szCs w:val="20"/>
              </w:rPr>
              <w:t>Bottom line</w:t>
            </w:r>
          </w:p>
          <w:p w14:paraId="0C0572D9" w14:textId="6EC00FB0" w:rsidR="003151A7" w:rsidRDefault="00000000">
            <w:pPr>
              <w:spacing w:line="380" w:lineRule="auto"/>
            </w:pPr>
            <w:r>
              <w:rPr>
                <w:color w:val="1A1A2E"/>
                <w:sz w:val="20"/>
                <w:szCs w:val="20"/>
              </w:rPr>
              <w:t>This study uses two-level Hierarchical Linear Modeling (HLM) on 409 NYC public high schools nested within 43 community districts to test whether zoning-based policy context explains between-neighborhood differences in Regents Exam performance beyond school-level compositional factors. Following Bryk, Lee &amp; Holland (1993) and the prospectus framework, the model partitions variance into within- and between-neighborhood components and incorporates policy/mechanism variables at Level 2.  Result: zoning policy context independently predicts ELA performance (γ₀₁ = +1.18, p = .003) and Living Environment performance (γ₀₁ = +0.93, p = .004) after controlling for school-level composition and organization. Algebra shows no Level 2 policy context effect; compositional factors fully account for between-neighborhood variation in math. The stability of this cross-subject pattern is consistent with prospectus Goal 3.</w:t>
            </w:r>
          </w:p>
        </w:tc>
      </w:tr>
    </w:tbl>
    <w:p w14:paraId="325538BF" w14:textId="77777777" w:rsidR="003151A7" w:rsidRDefault="003151A7">
      <w:pPr>
        <w:spacing w:after="200"/>
      </w:pPr>
    </w:p>
    <w:p w14:paraId="0A6EC0D2" w14:textId="77777777" w:rsidR="003151A7" w:rsidRDefault="00000000">
      <w:pPr>
        <w:pStyle w:val="Heading1"/>
      </w:pPr>
      <w:r>
        <w:t>1.  Data and Sample</w:t>
      </w:r>
    </w:p>
    <w:p w14:paraId="55E7EC10" w14:textId="77777777" w:rsidR="003151A7" w:rsidRDefault="003151A7">
      <w:pPr>
        <w:pBdr>
          <w:bottom w:val="single" w:sz="6" w:space="1" w:color="1A56C4"/>
        </w:pBdr>
        <w:spacing w:before="60" w:after="60"/>
      </w:pPr>
    </w:p>
    <w:p w14:paraId="3D580F5C" w14:textId="77777777" w:rsidR="003151A7" w:rsidRDefault="003151A7">
      <w:pPr>
        <w:spacing w:after="80"/>
      </w:pPr>
    </w:p>
    <w:p w14:paraId="76520553" w14:textId="77777777" w:rsidR="003151A7" w:rsidRDefault="00000000">
      <w:pPr>
        <w:pStyle w:val="Heading2"/>
      </w:pPr>
      <w:r>
        <w:t>1.1  Dataset construction</w:t>
      </w:r>
    </w:p>
    <w:p w14:paraId="43A3373D" w14:textId="6EC9E650" w:rsidR="003151A7" w:rsidRDefault="00000000">
      <w:pPr>
        <w:spacing w:after="180" w:line="400" w:lineRule="auto"/>
      </w:pPr>
      <w:r>
        <w:rPr>
          <w:color w:val="1A1A2E"/>
          <w:sz w:val="21"/>
          <w:szCs w:val="21"/>
        </w:rPr>
        <w:t>The primary dataset merges six publicly available sources into a school-level, exam-level panel for 2023 NYC Regents results. A parallel 2022 dataset supports temporal replication. This study uses the 2023 data as the primary analysis year and 2022 as the validation year, the reverse of the order described in the prospectus. This decision reflects data availability: the 2022 dataset became the earlier, noisier post-COVID year, while 2023 offers more stable baseline measurements for the primary model. All sources are linked using the District Borough Number (DBN) as the primary join key, per the prospectus design.</w:t>
      </w:r>
    </w:p>
    <w:p w14:paraId="678B0330" w14:textId="77777777" w:rsidR="003151A7" w:rsidRDefault="003151A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200"/>
        <w:gridCol w:w="2960"/>
      </w:tblGrid>
      <w:tr w:rsidR="003151A7" w14:paraId="7C340547"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5B063515" w14:textId="77777777" w:rsidR="003151A7" w:rsidRDefault="00000000">
            <w:pPr>
              <w:spacing w:line="340" w:lineRule="auto"/>
            </w:pPr>
            <w:r>
              <w:rPr>
                <w:b/>
                <w:bCs/>
                <w:color w:val="FFFFFF"/>
                <w:sz w:val="18"/>
                <w:szCs w:val="18"/>
              </w:rPr>
              <w:t>Dataset</w:t>
            </w:r>
          </w:p>
        </w:tc>
        <w:tc>
          <w:tcPr>
            <w:tcW w:w="28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182F4F02" w14:textId="77777777" w:rsidR="003151A7" w:rsidRDefault="00000000">
            <w:pPr>
              <w:spacing w:line="340" w:lineRule="auto"/>
            </w:pPr>
            <w:r>
              <w:rPr>
                <w:b/>
                <w:bCs/>
                <w:color w:val="FFFFFF"/>
                <w:sz w:val="18"/>
                <w:szCs w:val="18"/>
              </w:rPr>
              <w:t>What it provides</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9F6B42D" w14:textId="77777777" w:rsidR="003151A7" w:rsidRDefault="00000000">
            <w:pPr>
              <w:spacing w:line="340" w:lineRule="auto"/>
              <w:jc w:val="center"/>
            </w:pPr>
            <w:r>
              <w:rPr>
                <w:b/>
                <w:bCs/>
                <w:color w:val="FFFFFF"/>
                <w:sz w:val="18"/>
                <w:szCs w:val="18"/>
              </w:rPr>
              <w:t>Records</w:t>
            </w:r>
          </w:p>
        </w:tc>
        <w:tc>
          <w:tcPr>
            <w:tcW w:w="29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386B01E2" w14:textId="77777777" w:rsidR="003151A7" w:rsidRDefault="00000000">
            <w:pPr>
              <w:spacing w:line="340" w:lineRule="auto"/>
            </w:pPr>
            <w:r>
              <w:rPr>
                <w:b/>
                <w:bCs/>
                <w:color w:val="FFFFFF"/>
                <w:sz w:val="18"/>
                <w:szCs w:val="18"/>
              </w:rPr>
              <w:t>Join key / Notes</w:t>
            </w:r>
          </w:p>
        </w:tc>
      </w:tr>
      <w:tr w:rsidR="003151A7" w14:paraId="5BD86EC4"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2BB6E40" w14:textId="77777777" w:rsidR="003151A7" w:rsidRDefault="00000000">
            <w:pPr>
              <w:spacing w:line="340" w:lineRule="auto"/>
            </w:pPr>
            <w:r>
              <w:rPr>
                <w:b/>
                <w:bCs/>
                <w:color w:val="1E6B3C"/>
                <w:sz w:val="17"/>
                <w:szCs w:val="17"/>
              </w:rPr>
              <w:t>NYSED SRC2024_Group5.mdb</w:t>
            </w:r>
          </w:p>
        </w:tc>
        <w:tc>
          <w:tcPr>
            <w:tcW w:w="28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1B817806" w14:textId="77777777" w:rsidR="003151A7" w:rsidRDefault="00000000">
            <w:pPr>
              <w:spacing w:line="340" w:lineRule="auto"/>
            </w:pPr>
            <w:r>
              <w:rPr>
                <w:color w:val="1E6B3C"/>
                <w:sz w:val="17"/>
                <w:szCs w:val="17"/>
              </w:rPr>
              <w:t>Mean Regents scores by school, exam, year — 3 exams</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0E651E0" w14:textId="77777777" w:rsidR="003151A7" w:rsidRDefault="00000000">
            <w:pPr>
              <w:spacing w:line="340" w:lineRule="auto"/>
              <w:jc w:val="center"/>
            </w:pPr>
            <w:r>
              <w:rPr>
                <w:color w:val="1E6B3C"/>
                <w:sz w:val="17"/>
                <w:szCs w:val="17"/>
              </w:rPr>
              <w:t>~3,100</w:t>
            </w:r>
          </w:p>
        </w:tc>
        <w:tc>
          <w:tcPr>
            <w:tcW w:w="29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2EDFD418" w14:textId="77777777" w:rsidR="003151A7" w:rsidRDefault="00000000">
            <w:pPr>
              <w:spacing w:line="340" w:lineRule="auto"/>
            </w:pPr>
            <w:r>
              <w:rPr>
                <w:color w:val="1E6B3C"/>
                <w:sz w:val="17"/>
                <w:szCs w:val="17"/>
              </w:rPr>
              <w:t>DBN → INSTITUTION_ID</w:t>
            </w:r>
          </w:p>
        </w:tc>
      </w:tr>
      <w:tr w:rsidR="003151A7" w14:paraId="56798D1F"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91E2B13" w14:textId="7F6E4CD4" w:rsidR="003151A7" w:rsidRDefault="00000000">
            <w:pPr>
              <w:spacing w:line="340" w:lineRule="auto"/>
            </w:pPr>
            <w:r>
              <w:rPr>
                <w:b/>
                <w:bCs/>
                <w:color w:val="1E6B3C"/>
                <w:sz w:val="17"/>
                <w:szCs w:val="17"/>
              </w:rPr>
              <w:t>NYC OpenData = School Locations</w:t>
            </w:r>
          </w:p>
        </w:tc>
        <w:tc>
          <w:tcPr>
            <w:tcW w:w="28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35673186" w14:textId="77777777" w:rsidR="003151A7" w:rsidRDefault="00000000">
            <w:pPr>
              <w:spacing w:line="340" w:lineRule="auto"/>
            </w:pPr>
            <w:r>
              <w:rPr>
                <w:color w:val="1E6B3C"/>
                <w:sz w:val="17"/>
                <w:szCs w:val="17"/>
              </w:rPr>
              <w:t>School lat/lon → neighborhood assignment</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2E3AF4E" w14:textId="77777777" w:rsidR="003151A7" w:rsidRDefault="00000000">
            <w:pPr>
              <w:spacing w:line="340" w:lineRule="auto"/>
              <w:jc w:val="center"/>
            </w:pPr>
            <w:r>
              <w:rPr>
                <w:color w:val="1E6B3C"/>
                <w:sz w:val="17"/>
                <w:szCs w:val="17"/>
              </w:rPr>
              <w:t>409 schools</w:t>
            </w:r>
          </w:p>
        </w:tc>
        <w:tc>
          <w:tcPr>
            <w:tcW w:w="29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03C92413" w14:textId="77777777" w:rsidR="003151A7" w:rsidRDefault="00000000">
            <w:pPr>
              <w:spacing w:line="340" w:lineRule="auto"/>
            </w:pPr>
            <w:r>
              <w:rPr>
                <w:color w:val="1E6B3C"/>
                <w:sz w:val="17"/>
                <w:szCs w:val="17"/>
              </w:rPr>
              <w:t>DBN</w:t>
            </w:r>
          </w:p>
        </w:tc>
      </w:tr>
      <w:tr w:rsidR="003151A7" w14:paraId="32018000"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027BC26" w14:textId="77777777" w:rsidR="003151A7" w:rsidRDefault="00000000">
            <w:pPr>
              <w:spacing w:line="340" w:lineRule="auto"/>
            </w:pPr>
            <w:r>
              <w:rPr>
                <w:b/>
                <w:bCs/>
                <w:color w:val="1E6B3C"/>
                <w:sz w:val="17"/>
                <w:szCs w:val="17"/>
              </w:rPr>
              <w:t>NYSED ENROLL2024.mdb</w:t>
            </w:r>
          </w:p>
        </w:tc>
        <w:tc>
          <w:tcPr>
            <w:tcW w:w="28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5F69C822" w14:textId="77777777" w:rsidR="003151A7" w:rsidRDefault="00000000">
            <w:pPr>
              <w:spacing w:line="340" w:lineRule="auto"/>
            </w:pPr>
            <w:r>
              <w:rPr>
                <w:color w:val="1E6B3C"/>
                <w:sz w:val="17"/>
                <w:szCs w:val="17"/>
              </w:rPr>
              <w:t>Student body composition: race %, ELL %, EconDisadv %, Homeless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82FA161" w14:textId="77777777" w:rsidR="003151A7" w:rsidRDefault="00000000">
            <w:pPr>
              <w:spacing w:line="340" w:lineRule="auto"/>
              <w:jc w:val="center"/>
            </w:pPr>
            <w:r>
              <w:rPr>
                <w:color w:val="1E6B3C"/>
                <w:sz w:val="17"/>
                <w:szCs w:val="17"/>
              </w:rPr>
              <w:t>409 schools</w:t>
            </w:r>
          </w:p>
        </w:tc>
        <w:tc>
          <w:tcPr>
            <w:tcW w:w="29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564F0F0E" w14:textId="77777777" w:rsidR="003151A7" w:rsidRDefault="00000000">
            <w:pPr>
              <w:spacing w:line="340" w:lineRule="auto"/>
            </w:pPr>
            <w:r>
              <w:rPr>
                <w:color w:val="1E6B3C"/>
                <w:sz w:val="17"/>
                <w:szCs w:val="17"/>
              </w:rPr>
              <w:t>DBN → BEDS code</w:t>
            </w:r>
          </w:p>
        </w:tc>
      </w:tr>
      <w:tr w:rsidR="003151A7" w14:paraId="7CE0BABF"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E9859C3" w14:textId="77777777" w:rsidR="003151A7" w:rsidRDefault="00000000">
            <w:pPr>
              <w:spacing w:line="340" w:lineRule="auto"/>
            </w:pPr>
            <w:r>
              <w:rPr>
                <w:b/>
                <w:bCs/>
                <w:color w:val="1E6B3C"/>
                <w:sz w:val="17"/>
                <w:szCs w:val="17"/>
              </w:rPr>
              <w:t>NYSED STUDED2024.mdb</w:t>
            </w:r>
          </w:p>
        </w:tc>
        <w:tc>
          <w:tcPr>
            <w:tcW w:w="28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35B87EE8" w14:textId="77777777" w:rsidR="003151A7" w:rsidRDefault="00000000">
            <w:pPr>
              <w:spacing w:line="340" w:lineRule="auto"/>
            </w:pPr>
            <w:r>
              <w:rPr>
                <w:color w:val="1E6B3C"/>
                <w:sz w:val="17"/>
                <w:szCs w:val="17"/>
              </w:rPr>
              <w:t>Subject class sizes, attendance rate</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01E967DF" w14:textId="77777777" w:rsidR="003151A7" w:rsidRDefault="00000000">
            <w:pPr>
              <w:spacing w:line="340" w:lineRule="auto"/>
              <w:jc w:val="center"/>
            </w:pPr>
            <w:r>
              <w:rPr>
                <w:color w:val="1E6B3C"/>
                <w:sz w:val="17"/>
                <w:szCs w:val="17"/>
              </w:rPr>
              <w:t>409 schools</w:t>
            </w:r>
          </w:p>
        </w:tc>
        <w:tc>
          <w:tcPr>
            <w:tcW w:w="29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72428477" w14:textId="77777777" w:rsidR="003151A7" w:rsidRDefault="00000000">
            <w:pPr>
              <w:spacing w:line="340" w:lineRule="auto"/>
            </w:pPr>
            <w:r>
              <w:rPr>
                <w:color w:val="1E6B3C"/>
                <w:sz w:val="17"/>
                <w:szCs w:val="17"/>
              </w:rPr>
              <w:t>DBN → ENTITY_CD</w:t>
            </w:r>
          </w:p>
        </w:tc>
      </w:tr>
      <w:tr w:rsidR="003151A7" w14:paraId="2DB95197"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4692959" w14:textId="77777777" w:rsidR="003151A7" w:rsidRDefault="00000000">
            <w:pPr>
              <w:spacing w:line="340" w:lineRule="auto"/>
            </w:pPr>
            <w:r>
              <w:rPr>
                <w:b/>
                <w:bCs/>
                <w:color w:val="1E6B3C"/>
                <w:sz w:val="17"/>
                <w:szCs w:val="17"/>
              </w:rPr>
              <w:t>NYC PLUTO 2025 (v25.2)</w:t>
            </w:r>
          </w:p>
        </w:tc>
        <w:tc>
          <w:tcPr>
            <w:tcW w:w="28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61640DD4" w14:textId="77777777" w:rsidR="003151A7" w:rsidRDefault="00000000">
            <w:pPr>
              <w:spacing w:line="340" w:lineRule="auto"/>
            </w:pPr>
            <w:r>
              <w:rPr>
                <w:color w:val="1E6B3C"/>
                <w:sz w:val="17"/>
                <w:szCs w:val="17"/>
              </w:rPr>
              <w:t>Zoning designations, commercial FAR by lot → NEQ policy index</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6735754" w14:textId="77777777" w:rsidR="003151A7" w:rsidRDefault="00000000">
            <w:pPr>
              <w:spacing w:line="340" w:lineRule="auto"/>
              <w:jc w:val="center"/>
            </w:pPr>
            <w:r>
              <w:rPr>
                <w:color w:val="1E6B3C"/>
                <w:sz w:val="17"/>
                <w:szCs w:val="17"/>
              </w:rPr>
              <w:t>857,736 lots</w:t>
            </w:r>
          </w:p>
        </w:tc>
        <w:tc>
          <w:tcPr>
            <w:tcW w:w="29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21EA1F23" w14:textId="77777777" w:rsidR="003151A7" w:rsidRDefault="00000000">
            <w:pPr>
              <w:spacing w:line="340" w:lineRule="auto"/>
            </w:pPr>
            <w:r>
              <w:rPr>
                <w:color w:val="1E6B3C"/>
                <w:sz w:val="17"/>
                <w:szCs w:val="17"/>
              </w:rPr>
              <w:t>ZIP → Neighborhood</w:t>
            </w:r>
          </w:p>
        </w:tc>
      </w:tr>
      <w:tr w:rsidR="003151A7" w14:paraId="7C953D0E"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97BD975" w14:textId="77777777" w:rsidR="003151A7" w:rsidRDefault="00000000">
            <w:pPr>
              <w:spacing w:line="340" w:lineRule="auto"/>
            </w:pPr>
            <w:r>
              <w:rPr>
                <w:color w:val="7A4F00"/>
                <w:sz w:val="17"/>
                <w:szCs w:val="17"/>
              </w:rPr>
              <w:t>MTA OpenData (2024)</w:t>
            </w:r>
          </w:p>
        </w:tc>
        <w:tc>
          <w:tcPr>
            <w:tcW w:w="28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5F5241E8" w14:textId="77777777" w:rsidR="003151A7" w:rsidRDefault="00000000">
            <w:pPr>
              <w:spacing w:line="340" w:lineRule="auto"/>
            </w:pPr>
            <w:r>
              <w:rPr>
                <w:color w:val="7A4F00"/>
                <w:sz w:val="17"/>
                <w:szCs w:val="17"/>
              </w:rPr>
              <w:t>Subway station locations → school-to-subway distance (tested)</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71B74A67" w14:textId="77777777" w:rsidR="003151A7" w:rsidRDefault="00000000">
            <w:pPr>
              <w:spacing w:line="340" w:lineRule="auto"/>
              <w:jc w:val="center"/>
            </w:pPr>
            <w:r>
              <w:rPr>
                <w:color w:val="7A4F00"/>
                <w:sz w:val="17"/>
                <w:szCs w:val="17"/>
              </w:rPr>
              <w:t>496 stations</w:t>
            </w:r>
          </w:p>
        </w:tc>
        <w:tc>
          <w:tcPr>
            <w:tcW w:w="29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1FAE4B8E" w14:textId="77777777" w:rsidR="003151A7" w:rsidRDefault="00000000">
            <w:pPr>
              <w:spacing w:line="340" w:lineRule="auto"/>
            </w:pPr>
            <w:r>
              <w:rPr>
                <w:color w:val="7A4F00"/>
                <w:sz w:val="17"/>
                <w:szCs w:val="17"/>
              </w:rPr>
              <w:t>Haversine (lat/lon)</w:t>
            </w:r>
          </w:p>
        </w:tc>
      </w:tr>
      <w:tr w:rsidR="003151A7" w14:paraId="27998A8F"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04544451" w14:textId="77777777" w:rsidR="003151A7" w:rsidRDefault="00000000">
            <w:pPr>
              <w:spacing w:line="340" w:lineRule="auto"/>
            </w:pPr>
            <w:r>
              <w:rPr>
                <w:color w:val="7A4F00"/>
                <w:sz w:val="17"/>
                <w:szCs w:val="17"/>
              </w:rPr>
              <w:t>NYC DOH EHDP 2023</w:t>
            </w:r>
          </w:p>
        </w:tc>
        <w:tc>
          <w:tcPr>
            <w:tcW w:w="28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2FCD7F37" w14:textId="77777777" w:rsidR="003151A7" w:rsidRDefault="00000000">
            <w:pPr>
              <w:spacing w:line="340" w:lineRule="auto"/>
            </w:pPr>
            <w:r>
              <w:rPr>
                <w:color w:val="7A4F00"/>
                <w:sz w:val="17"/>
                <w:szCs w:val="17"/>
              </w:rPr>
              <w:t>Park access % by community district (tested)</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799625C3" w14:textId="77777777" w:rsidR="003151A7" w:rsidRDefault="00000000">
            <w:pPr>
              <w:spacing w:line="340" w:lineRule="auto"/>
              <w:jc w:val="center"/>
            </w:pPr>
            <w:r>
              <w:rPr>
                <w:color w:val="7A4F00"/>
                <w:sz w:val="17"/>
                <w:szCs w:val="17"/>
              </w:rPr>
              <w:t>59 CDs</w:t>
            </w:r>
          </w:p>
        </w:tc>
        <w:tc>
          <w:tcPr>
            <w:tcW w:w="29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1033A04E" w14:textId="77777777" w:rsidR="003151A7" w:rsidRDefault="00000000">
            <w:pPr>
              <w:spacing w:line="340" w:lineRule="auto"/>
            </w:pPr>
            <w:r>
              <w:rPr>
                <w:color w:val="7A4F00"/>
                <w:sz w:val="17"/>
                <w:szCs w:val="17"/>
              </w:rPr>
              <w:t>CD code</w:t>
            </w:r>
          </w:p>
        </w:tc>
      </w:tr>
      <w:tr w:rsidR="003151A7" w14:paraId="1EA101E4"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48654898" w14:textId="77777777" w:rsidR="003151A7" w:rsidRDefault="00000000">
            <w:pPr>
              <w:spacing w:line="340" w:lineRule="auto"/>
            </w:pPr>
            <w:r>
              <w:rPr>
                <w:color w:val="7A4F00"/>
                <w:sz w:val="17"/>
                <w:szCs w:val="17"/>
              </w:rPr>
              <w:t>NYCCHA Data Book 2025</w:t>
            </w:r>
          </w:p>
        </w:tc>
        <w:tc>
          <w:tcPr>
            <w:tcW w:w="28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709ED558" w14:textId="77777777" w:rsidR="003151A7" w:rsidRDefault="00000000">
            <w:pPr>
              <w:spacing w:line="340" w:lineRule="auto"/>
            </w:pPr>
            <w:r>
              <w:rPr>
                <w:color w:val="7A4F00"/>
                <w:sz w:val="17"/>
                <w:szCs w:val="17"/>
              </w:rPr>
              <w:t>Public housing units by development (tested)</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186B80EA" w14:textId="77777777" w:rsidR="003151A7" w:rsidRDefault="00000000">
            <w:pPr>
              <w:spacing w:line="340" w:lineRule="auto"/>
              <w:jc w:val="center"/>
            </w:pPr>
            <w:r>
              <w:rPr>
                <w:color w:val="7A4F00"/>
                <w:sz w:val="17"/>
                <w:szCs w:val="17"/>
              </w:rPr>
              <w:t>346 devs</w:t>
            </w:r>
          </w:p>
        </w:tc>
        <w:tc>
          <w:tcPr>
            <w:tcW w:w="29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6F3D52DE" w14:textId="77777777" w:rsidR="003151A7" w:rsidRDefault="00000000">
            <w:pPr>
              <w:spacing w:line="340" w:lineRule="auto"/>
            </w:pPr>
            <w:r>
              <w:rPr>
                <w:color w:val="7A4F00"/>
                <w:sz w:val="17"/>
                <w:szCs w:val="17"/>
              </w:rPr>
              <w:t>Borough + CD</w:t>
            </w:r>
          </w:p>
        </w:tc>
      </w:tr>
      <w:tr w:rsidR="003151A7" w14:paraId="11B144C0"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21D24964" w14:textId="77777777" w:rsidR="003151A7" w:rsidRDefault="00000000">
            <w:pPr>
              <w:spacing w:line="340" w:lineRule="auto"/>
            </w:pPr>
            <w:r>
              <w:rPr>
                <w:color w:val="7A4F00"/>
                <w:sz w:val="17"/>
                <w:szCs w:val="17"/>
              </w:rPr>
              <w:t>CCC NYC / ACS 2023</w:t>
            </w:r>
          </w:p>
        </w:tc>
        <w:tc>
          <w:tcPr>
            <w:tcW w:w="28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1B5658B2" w14:textId="77777777" w:rsidR="003151A7" w:rsidRDefault="00000000">
            <w:pPr>
              <w:spacing w:line="340" w:lineRule="auto"/>
            </w:pPr>
            <w:r>
              <w:rPr>
                <w:color w:val="7A4F00"/>
                <w:sz w:val="17"/>
                <w:szCs w:val="17"/>
              </w:rPr>
              <w:t>Median household income by community district (tested)</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5A95768F" w14:textId="77777777" w:rsidR="003151A7" w:rsidRDefault="00000000">
            <w:pPr>
              <w:spacing w:line="340" w:lineRule="auto"/>
              <w:jc w:val="center"/>
            </w:pPr>
            <w:r>
              <w:rPr>
                <w:color w:val="7A4F00"/>
                <w:sz w:val="17"/>
                <w:szCs w:val="17"/>
              </w:rPr>
              <w:t>59 CDs</w:t>
            </w:r>
          </w:p>
        </w:tc>
        <w:tc>
          <w:tcPr>
            <w:tcW w:w="29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32F23A3F" w14:textId="77777777" w:rsidR="003151A7" w:rsidRDefault="00000000">
            <w:pPr>
              <w:spacing w:line="340" w:lineRule="auto"/>
            </w:pPr>
            <w:r>
              <w:rPr>
                <w:color w:val="7A4F00"/>
                <w:sz w:val="17"/>
                <w:szCs w:val="17"/>
              </w:rPr>
              <w:t>CD code</w:t>
            </w:r>
          </w:p>
        </w:tc>
      </w:tr>
    </w:tbl>
    <w:p w14:paraId="58A746A0" w14:textId="77777777" w:rsidR="003151A7" w:rsidRDefault="003151A7">
      <w:pPr>
        <w:spacing w:after="80"/>
      </w:pPr>
    </w:p>
    <w:p w14:paraId="244D4FE7" w14:textId="77777777" w:rsidR="003151A7" w:rsidRDefault="00000000">
      <w:pPr>
        <w:spacing w:after="160" w:line="340" w:lineRule="auto"/>
      </w:pPr>
      <w:r>
        <w:rPr>
          <w:b/>
          <w:bCs/>
          <w:i/>
          <w:iCs/>
          <w:color w:val="64748B"/>
          <w:sz w:val="18"/>
          <w:szCs w:val="18"/>
        </w:rPr>
        <w:t xml:space="preserve">Note. </w:t>
      </w:r>
      <w:r>
        <w:rPr>
          <w:i/>
          <w:iCs/>
          <w:color w:val="64748B"/>
          <w:sz w:val="18"/>
          <w:szCs w:val="18"/>
        </w:rPr>
        <w:t>DBN = District Borough Number (NYC DOE school identifier). BEDS = Basic Educational Data System (NYSED). PLUTO = Primary Land Use Tax Lot Output (NYC Department of City Planning). Special Education schools excluded from all models (n = 16). Green = in final model. Amber = tested as candidate Level 2 policy variable; not in final model.</w:t>
      </w:r>
    </w:p>
    <w:p w14:paraId="44FF1A59" w14:textId="77777777" w:rsidR="003151A7" w:rsidRDefault="003151A7">
      <w:pPr>
        <w:spacing w:after="120"/>
      </w:pPr>
    </w:p>
    <w:p w14:paraId="09A2A279" w14:textId="77777777" w:rsidR="003151A7" w:rsidRDefault="00000000">
      <w:pPr>
        <w:pStyle w:val="Heading2"/>
      </w:pPr>
      <w:r>
        <w:t>1.2  Final analytic samples</w:t>
      </w:r>
    </w:p>
    <w:p w14:paraId="3F3FC324"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151A7" w14:paraId="7DA79F28"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C2E04FD" w14:textId="77777777" w:rsidR="003151A7" w:rsidRDefault="003151A7">
            <w:pPr>
              <w:spacing w:line="340" w:lineRule="auto"/>
              <w:jc w:val="center"/>
            </w:pPr>
          </w:p>
        </w:tc>
        <w:tc>
          <w:tcPr>
            <w:tcW w:w="2400" w:type="dxa"/>
            <w:tcBorders>
              <w:top w:val="single" w:sz="1" w:space="0" w:color="D1D9E8"/>
              <w:left w:val="single" w:sz="1" w:space="0" w:color="D1D9E8"/>
              <w:bottom w:val="single" w:sz="1" w:space="0" w:color="D1D9E8"/>
              <w:right w:val="single" w:sz="1" w:space="0" w:color="D1D9E8"/>
            </w:tcBorders>
            <w:shd w:val="clear" w:color="auto" w:fill="1A56C4"/>
            <w:tcMar>
              <w:top w:w="100" w:type="dxa"/>
              <w:left w:w="140" w:type="dxa"/>
              <w:bottom w:w="100" w:type="dxa"/>
              <w:right w:w="140" w:type="dxa"/>
            </w:tcMar>
            <w:vAlign w:val="center"/>
          </w:tcPr>
          <w:p w14:paraId="5C820745" w14:textId="77777777" w:rsidR="003151A7" w:rsidRDefault="00000000">
            <w:pPr>
              <w:spacing w:line="340" w:lineRule="auto"/>
              <w:jc w:val="center"/>
            </w:pPr>
            <w:r>
              <w:rPr>
                <w:b/>
                <w:bCs/>
                <w:color w:val="FFFFFF"/>
                <w:sz w:val="18"/>
                <w:szCs w:val="18"/>
              </w:rPr>
              <w:t>2023 Primary</w:t>
            </w:r>
          </w:p>
        </w:tc>
        <w:tc>
          <w:tcPr>
            <w:tcW w:w="2400" w:type="dxa"/>
            <w:tcBorders>
              <w:top w:val="single" w:sz="1" w:space="0" w:color="D1D9E8"/>
              <w:left w:val="single" w:sz="1" w:space="0" w:color="D1D9E8"/>
              <w:bottom w:val="single" w:sz="1" w:space="0" w:color="D1D9E8"/>
              <w:right w:val="single" w:sz="1" w:space="0" w:color="D1D9E8"/>
            </w:tcBorders>
            <w:shd w:val="clear" w:color="auto" w:fill="37474F"/>
            <w:tcMar>
              <w:top w:w="100" w:type="dxa"/>
              <w:left w:w="140" w:type="dxa"/>
              <w:bottom w:w="100" w:type="dxa"/>
              <w:right w:w="140" w:type="dxa"/>
            </w:tcMar>
            <w:vAlign w:val="center"/>
          </w:tcPr>
          <w:p w14:paraId="035DC61A" w14:textId="77777777" w:rsidR="003151A7" w:rsidRDefault="00000000">
            <w:pPr>
              <w:spacing w:line="340" w:lineRule="auto"/>
              <w:jc w:val="center"/>
            </w:pPr>
            <w:r>
              <w:rPr>
                <w:b/>
                <w:bCs/>
                <w:color w:val="FFFFFF"/>
                <w:sz w:val="18"/>
                <w:szCs w:val="18"/>
              </w:rPr>
              <w:t>2022 Validation</w:t>
            </w:r>
          </w:p>
        </w:tc>
        <w:tc>
          <w:tcPr>
            <w:tcW w:w="21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F85735D" w14:textId="77777777" w:rsidR="003151A7" w:rsidRDefault="00000000">
            <w:pPr>
              <w:spacing w:line="340" w:lineRule="auto"/>
              <w:jc w:val="center"/>
            </w:pPr>
            <w:r>
              <w:rPr>
                <w:b/>
                <w:bCs/>
                <w:color w:val="FFFFFF"/>
                <w:sz w:val="18"/>
                <w:szCs w:val="18"/>
              </w:rPr>
              <w:t>Notes</w:t>
            </w:r>
          </w:p>
        </w:tc>
      </w:tr>
      <w:tr w:rsidR="003151A7" w14:paraId="09F10CFC"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2291C2B6" w14:textId="77777777" w:rsidR="003151A7" w:rsidRDefault="00000000">
            <w:pPr>
              <w:spacing w:line="340" w:lineRule="auto"/>
            </w:pPr>
            <w:r>
              <w:rPr>
                <w:b/>
                <w:bCs/>
                <w:color w:val="1A1A2E"/>
                <w:sz w:val="18"/>
                <w:szCs w:val="18"/>
              </w:rPr>
              <w:t>School–exam records</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CE77949" w14:textId="77777777" w:rsidR="003151A7" w:rsidRDefault="00000000">
            <w:pPr>
              <w:spacing w:line="340" w:lineRule="auto"/>
              <w:jc w:val="center"/>
            </w:pPr>
            <w:r>
              <w:rPr>
                <w:color w:val="1A1A2E"/>
                <w:sz w:val="18"/>
                <w:szCs w:val="18"/>
              </w:rPr>
              <w:t>1,154</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724D60F" w14:textId="77777777" w:rsidR="003151A7" w:rsidRDefault="00000000">
            <w:pPr>
              <w:spacing w:line="340" w:lineRule="auto"/>
              <w:jc w:val="center"/>
            </w:pPr>
            <w:r>
              <w:rPr>
                <w:color w:val="1A1A2E"/>
                <w:sz w:val="18"/>
                <w:szCs w:val="18"/>
              </w:rPr>
              <w:t>1,046</w:t>
            </w:r>
          </w:p>
        </w:tc>
        <w:tc>
          <w:tcPr>
            <w:tcW w:w="21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B34F6E9" w14:textId="77777777" w:rsidR="003151A7" w:rsidRDefault="00000000">
            <w:pPr>
              <w:spacing w:line="340" w:lineRule="auto"/>
            </w:pPr>
            <w:r>
              <w:rPr>
                <w:color w:val="1A1A2E"/>
                <w:sz w:val="18"/>
                <w:szCs w:val="18"/>
              </w:rPr>
              <w:t>3 exams × schools with complete data</w:t>
            </w:r>
          </w:p>
        </w:tc>
      </w:tr>
      <w:tr w:rsidR="003151A7" w14:paraId="451BC396"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F8BC5D5" w14:textId="77777777" w:rsidR="003151A7" w:rsidRDefault="00000000">
            <w:pPr>
              <w:spacing w:line="340" w:lineRule="auto"/>
            </w:pPr>
            <w:r>
              <w:rPr>
                <w:b/>
                <w:bCs/>
                <w:color w:val="1A1A2E"/>
                <w:sz w:val="18"/>
                <w:szCs w:val="18"/>
              </w:rPr>
              <w:t>Schools</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3031759D" w14:textId="77777777" w:rsidR="003151A7" w:rsidRDefault="00000000">
            <w:pPr>
              <w:spacing w:line="340" w:lineRule="auto"/>
              <w:jc w:val="center"/>
            </w:pPr>
            <w:r>
              <w:rPr>
                <w:color w:val="1A1A2E"/>
                <w:sz w:val="18"/>
                <w:szCs w:val="18"/>
              </w:rPr>
              <w:t>409</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479DDFA" w14:textId="77777777" w:rsidR="003151A7" w:rsidRDefault="00000000">
            <w:pPr>
              <w:spacing w:line="340" w:lineRule="auto"/>
              <w:jc w:val="center"/>
            </w:pPr>
            <w:r>
              <w:rPr>
                <w:color w:val="1A1A2E"/>
                <w:sz w:val="18"/>
                <w:szCs w:val="18"/>
              </w:rPr>
              <w:t>406</w:t>
            </w:r>
          </w:p>
        </w:tc>
        <w:tc>
          <w:tcPr>
            <w:tcW w:w="21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245A6C7" w14:textId="77777777" w:rsidR="003151A7" w:rsidRDefault="00000000">
            <w:pPr>
              <w:spacing w:line="340" w:lineRule="auto"/>
            </w:pPr>
            <w:r>
              <w:rPr>
                <w:color w:val="1A1A2E"/>
                <w:sz w:val="18"/>
                <w:szCs w:val="18"/>
              </w:rPr>
              <w:t>After ClassSize availability filter</w:t>
            </w:r>
          </w:p>
        </w:tc>
      </w:tr>
      <w:tr w:rsidR="003151A7" w14:paraId="1AC848CA"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52B1A2D" w14:textId="77777777" w:rsidR="003151A7" w:rsidRDefault="00000000">
            <w:pPr>
              <w:spacing w:line="340" w:lineRule="auto"/>
            </w:pPr>
            <w:r>
              <w:rPr>
                <w:b/>
                <w:bCs/>
                <w:color w:val="1A1A2E"/>
                <w:sz w:val="18"/>
                <w:szCs w:val="18"/>
              </w:rPr>
              <w:lastRenderedPageBreak/>
              <w:t>Neighborhoods (community districts)</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198022B" w14:textId="77777777" w:rsidR="003151A7" w:rsidRDefault="00000000">
            <w:pPr>
              <w:spacing w:line="340" w:lineRule="auto"/>
              <w:jc w:val="center"/>
            </w:pPr>
            <w:r>
              <w:rPr>
                <w:color w:val="1A1A2E"/>
                <w:sz w:val="18"/>
                <w:szCs w:val="18"/>
              </w:rPr>
              <w:t>43</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F9812F2" w14:textId="77777777" w:rsidR="003151A7" w:rsidRDefault="00000000">
            <w:pPr>
              <w:spacing w:line="340" w:lineRule="auto"/>
              <w:jc w:val="center"/>
            </w:pPr>
            <w:r>
              <w:rPr>
                <w:color w:val="1A1A2E"/>
                <w:sz w:val="18"/>
                <w:szCs w:val="18"/>
              </w:rPr>
              <w:t>43</w:t>
            </w:r>
          </w:p>
        </w:tc>
        <w:tc>
          <w:tcPr>
            <w:tcW w:w="21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81BBA56" w14:textId="77777777" w:rsidR="003151A7" w:rsidRDefault="00000000">
            <w:pPr>
              <w:spacing w:line="340" w:lineRule="auto"/>
            </w:pPr>
            <w:r>
              <w:rPr>
                <w:color w:val="1A1A2E"/>
                <w:sz w:val="18"/>
                <w:szCs w:val="18"/>
              </w:rPr>
              <w:t>Same geographic units both years</w:t>
            </w:r>
          </w:p>
        </w:tc>
      </w:tr>
      <w:tr w:rsidR="003151A7" w14:paraId="1698A362"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109D352B" w14:textId="77777777" w:rsidR="003151A7" w:rsidRDefault="00000000">
            <w:pPr>
              <w:spacing w:line="340" w:lineRule="auto"/>
            </w:pPr>
            <w:r>
              <w:rPr>
                <w:b/>
                <w:bCs/>
                <w:color w:val="1A1A2E"/>
                <w:sz w:val="18"/>
                <w:szCs w:val="18"/>
              </w:rPr>
              <w:t>Missing values on modeled variables</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A0D668B" w14:textId="77777777" w:rsidR="003151A7" w:rsidRDefault="00000000">
            <w:pPr>
              <w:spacing w:line="340" w:lineRule="auto"/>
              <w:jc w:val="center"/>
            </w:pPr>
            <w:r>
              <w:rPr>
                <w:color w:val="1A1A2E"/>
                <w:sz w:val="18"/>
                <w:szCs w:val="18"/>
              </w:rPr>
              <w:t>0</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F23DDFA" w14:textId="77777777" w:rsidR="003151A7" w:rsidRDefault="00000000">
            <w:pPr>
              <w:spacing w:line="340" w:lineRule="auto"/>
              <w:jc w:val="center"/>
            </w:pPr>
            <w:r>
              <w:rPr>
                <w:color w:val="1A1A2E"/>
                <w:sz w:val="18"/>
                <w:szCs w:val="18"/>
              </w:rPr>
              <w:t>0</w:t>
            </w:r>
          </w:p>
        </w:tc>
        <w:tc>
          <w:tcPr>
            <w:tcW w:w="21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E07A6D9" w14:textId="77777777" w:rsidR="003151A7" w:rsidRDefault="00000000">
            <w:pPr>
              <w:spacing w:line="340" w:lineRule="auto"/>
            </w:pPr>
            <w:r>
              <w:rPr>
                <w:color w:val="1A1A2E"/>
                <w:sz w:val="18"/>
                <w:szCs w:val="18"/>
              </w:rPr>
              <w:t>Complete case analysis</w:t>
            </w:r>
          </w:p>
        </w:tc>
      </w:tr>
      <w:tr w:rsidR="003151A7" w14:paraId="4D2821BB"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8C0A431" w14:textId="77777777" w:rsidR="003151A7" w:rsidRDefault="00000000">
            <w:pPr>
              <w:spacing w:line="340" w:lineRule="auto"/>
            </w:pPr>
            <w:r>
              <w:rPr>
                <w:b/>
                <w:bCs/>
                <w:color w:val="1A1A2E"/>
                <w:sz w:val="18"/>
                <w:szCs w:val="18"/>
              </w:rPr>
              <w:t>School type breakdown</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167D17B" w14:textId="77777777" w:rsidR="003151A7" w:rsidRDefault="00000000">
            <w:pPr>
              <w:spacing w:line="340" w:lineRule="auto"/>
              <w:jc w:val="center"/>
            </w:pPr>
            <w:r>
              <w:rPr>
                <w:color w:val="1A1A2E"/>
                <w:sz w:val="18"/>
                <w:szCs w:val="18"/>
              </w:rPr>
              <w:t>323 General Academic · 45 CTE · 41 Transfer</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6DC21E4" w14:textId="77777777" w:rsidR="003151A7" w:rsidRDefault="00000000">
            <w:pPr>
              <w:spacing w:line="340" w:lineRule="auto"/>
              <w:jc w:val="center"/>
            </w:pPr>
            <w:r>
              <w:rPr>
                <w:color w:val="1A1A2E"/>
                <w:sz w:val="18"/>
                <w:szCs w:val="18"/>
              </w:rPr>
              <w:t>Similar split</w:t>
            </w:r>
          </w:p>
        </w:tc>
        <w:tc>
          <w:tcPr>
            <w:tcW w:w="21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60D093C" w14:textId="77777777" w:rsidR="003151A7" w:rsidRDefault="00000000">
            <w:pPr>
              <w:spacing w:line="340" w:lineRule="auto"/>
            </w:pPr>
            <w:r>
              <w:rPr>
                <w:color w:val="1A1A2E"/>
                <w:sz w:val="18"/>
                <w:szCs w:val="18"/>
              </w:rPr>
              <w:t>Special Ed excluded (n=16)</w:t>
            </w:r>
          </w:p>
        </w:tc>
      </w:tr>
    </w:tbl>
    <w:p w14:paraId="17A2E218" w14:textId="77777777" w:rsidR="003151A7" w:rsidRDefault="003151A7">
      <w:pPr>
        <w:spacing w:after="80"/>
      </w:pPr>
    </w:p>
    <w:p w14:paraId="5EC8806B" w14:textId="77777777" w:rsidR="003151A7" w:rsidRDefault="00000000">
      <w:pPr>
        <w:spacing w:after="180" w:line="400" w:lineRule="auto"/>
      </w:pPr>
      <w:r>
        <w:rPr>
          <w:color w:val="1A1A2E"/>
          <w:sz w:val="21"/>
          <w:szCs w:val="21"/>
        </w:rPr>
        <w:t>The 43 neighborhoods correspond to NYC community district-level geographic aggregations. Each school is assigned to a community district using its geographic coordinates and a ZIP-code-to-community-district crosswalk derived from the PLUTO dataset. This geographic assignment determines which Level 2 policy context variables apply to each school.</w:t>
      </w:r>
    </w:p>
    <w:p w14:paraId="4CF37092" w14:textId="77777777" w:rsidR="003151A7" w:rsidRDefault="003151A7">
      <w:pPr>
        <w:spacing w:after="160"/>
      </w:pPr>
    </w:p>
    <w:p w14:paraId="323279DD" w14:textId="77777777" w:rsidR="003151A7" w:rsidRDefault="00000000">
      <w:pPr>
        <w:pStyle w:val="Heading1"/>
      </w:pPr>
      <w:r>
        <w:t>2.  Variables</w:t>
      </w:r>
    </w:p>
    <w:p w14:paraId="5579F18B" w14:textId="77777777" w:rsidR="003151A7" w:rsidRDefault="003151A7">
      <w:pPr>
        <w:pBdr>
          <w:bottom w:val="single" w:sz="6" w:space="1" w:color="1A56C4"/>
        </w:pBdr>
        <w:spacing w:before="60" w:after="60"/>
      </w:pPr>
    </w:p>
    <w:p w14:paraId="42344EAB" w14:textId="77777777" w:rsidR="003151A7" w:rsidRDefault="003151A7">
      <w:pPr>
        <w:spacing w:after="80"/>
      </w:pPr>
    </w:p>
    <w:p w14:paraId="6BBAC28C" w14:textId="77777777" w:rsidR="003151A7" w:rsidRDefault="00000000">
      <w:pPr>
        <w:pStyle w:val="Heading2"/>
      </w:pPr>
      <w:r>
        <w:t>2.1  Outcome variable</w:t>
      </w:r>
    </w:p>
    <w:p w14:paraId="76C6592F" w14:textId="77777777" w:rsidR="003151A7" w:rsidRDefault="00000000">
      <w:pPr>
        <w:spacing w:after="180" w:line="400" w:lineRule="auto"/>
      </w:pPr>
      <w:r>
        <w:rPr>
          <w:b/>
          <w:bCs/>
          <w:color w:val="1A1A2E"/>
          <w:sz w:val="21"/>
          <w:szCs w:val="21"/>
        </w:rPr>
        <w:t>Mean Regents Score</w:t>
      </w:r>
      <w:r>
        <w:rPr>
          <w:color w:val="1A1A2E"/>
          <w:sz w:val="21"/>
          <w:szCs w:val="21"/>
        </w:rPr>
        <w:t xml:space="preserve"> — the school-level mean score on each of three Regents exams for the 2022-23 academic year. Three exams are analyzed separately, consistent with prospectus Goal 3 (testing stability of Level 2 effects across disciplines):</w:t>
      </w:r>
    </w:p>
    <w:p w14:paraId="325868AB"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3960"/>
      </w:tblGrid>
      <w:tr w:rsidR="003151A7" w14:paraId="0A8157A1"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4B4470F" w14:textId="77777777" w:rsidR="003151A7" w:rsidRDefault="00000000">
            <w:pPr>
              <w:spacing w:line="340" w:lineRule="auto"/>
              <w:jc w:val="center"/>
            </w:pPr>
            <w:r>
              <w:rPr>
                <w:b/>
                <w:bCs/>
                <w:color w:val="FFFFFF"/>
                <w:sz w:val="18"/>
                <w:szCs w:val="18"/>
              </w:rPr>
              <w:t>Exam</w:t>
            </w:r>
          </w:p>
        </w:tc>
        <w:tc>
          <w:tcPr>
            <w:tcW w:w="1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1316C33F" w14:textId="77777777" w:rsidR="003151A7" w:rsidRDefault="00000000">
            <w:pPr>
              <w:spacing w:line="340" w:lineRule="auto"/>
              <w:jc w:val="center"/>
            </w:pPr>
            <w:r>
              <w:rPr>
                <w:b/>
                <w:bCs/>
                <w:color w:val="FFFFFF"/>
                <w:sz w:val="18"/>
                <w:szCs w:val="18"/>
              </w:rPr>
              <w:t>Grand Mean</w:t>
            </w:r>
          </w:p>
        </w:tc>
        <w:tc>
          <w:tcPr>
            <w:tcW w:w="1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B4D1596" w14:textId="77777777" w:rsidR="003151A7" w:rsidRDefault="00000000">
            <w:pPr>
              <w:spacing w:line="340" w:lineRule="auto"/>
              <w:jc w:val="center"/>
            </w:pPr>
            <w:r>
              <w:rPr>
                <w:b/>
                <w:bCs/>
                <w:color w:val="FFFFFF"/>
                <w:sz w:val="18"/>
                <w:szCs w:val="18"/>
              </w:rPr>
              <w:t>Range</w:t>
            </w:r>
          </w:p>
        </w:tc>
        <w:tc>
          <w:tcPr>
            <w:tcW w:w="39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7420332" w14:textId="77777777" w:rsidR="003151A7" w:rsidRDefault="00000000">
            <w:pPr>
              <w:spacing w:line="340" w:lineRule="auto"/>
              <w:jc w:val="center"/>
            </w:pPr>
            <w:r>
              <w:rPr>
                <w:b/>
                <w:bCs/>
                <w:color w:val="FFFFFF"/>
                <w:sz w:val="18"/>
                <w:szCs w:val="18"/>
              </w:rPr>
              <w:t>Cross-subject interpretation</w:t>
            </w:r>
          </w:p>
        </w:tc>
      </w:tr>
      <w:tr w:rsidR="003151A7" w14:paraId="1BC0EA20"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F0B7363" w14:textId="77777777" w:rsidR="003151A7" w:rsidRDefault="00000000">
            <w:pPr>
              <w:spacing w:line="340" w:lineRule="auto"/>
            </w:pPr>
            <w:r>
              <w:rPr>
                <w:b/>
                <w:bCs/>
                <w:color w:val="1A1A2E"/>
                <w:sz w:val="18"/>
                <w:szCs w:val="18"/>
              </w:rPr>
              <w:t>Algebra I (Common Core)</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55663C6" w14:textId="77777777" w:rsidR="003151A7" w:rsidRDefault="00000000">
            <w:pPr>
              <w:spacing w:line="340" w:lineRule="auto"/>
              <w:jc w:val="center"/>
            </w:pPr>
            <w:r>
              <w:rPr>
                <w:color w:val="1A1A2E"/>
                <w:sz w:val="18"/>
                <w:szCs w:val="18"/>
              </w:rPr>
              <w:t>62.26</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E3E6F5C" w14:textId="77777777" w:rsidR="003151A7" w:rsidRDefault="00000000">
            <w:pPr>
              <w:spacing w:line="340" w:lineRule="auto"/>
              <w:jc w:val="center"/>
            </w:pPr>
            <w:r>
              <w:rPr>
                <w:color w:val="1A1A2E"/>
                <w:sz w:val="18"/>
                <w:szCs w:val="18"/>
              </w:rPr>
              <w:t>46.1–91.8</w:t>
            </w:r>
          </w:p>
        </w:tc>
        <w:tc>
          <w:tcPr>
            <w:tcW w:w="3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C42DA64" w14:textId="77777777" w:rsidR="003151A7" w:rsidRDefault="00000000">
            <w:pPr>
              <w:spacing w:line="340" w:lineRule="auto"/>
            </w:pPr>
            <w:r>
              <w:rPr>
                <w:color w:val="1A1A2E"/>
                <w:sz w:val="18"/>
                <w:szCs w:val="18"/>
              </w:rPr>
              <w:t>Level 2 policy context adds no independent signal (γ₀₁ = +0.275, ns). School-level compositional factors fully account for between-neighborhood variation. Math outcomes are instruction-dependent.</w:t>
            </w:r>
          </w:p>
        </w:tc>
      </w:tr>
      <w:tr w:rsidR="003151A7" w14:paraId="611B4B54"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2E27F27" w14:textId="77777777" w:rsidR="003151A7" w:rsidRDefault="00000000">
            <w:pPr>
              <w:spacing w:line="340" w:lineRule="auto"/>
            </w:pPr>
            <w:r>
              <w:rPr>
                <w:b/>
                <w:bCs/>
                <w:color w:val="1A1A2E"/>
                <w:sz w:val="18"/>
                <w:szCs w:val="18"/>
              </w:rPr>
              <w:t>ELA (Common Core)</w:t>
            </w:r>
          </w:p>
        </w:tc>
        <w:tc>
          <w:tcPr>
            <w:tcW w:w="1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634D77B" w14:textId="77777777" w:rsidR="003151A7" w:rsidRDefault="00000000">
            <w:pPr>
              <w:spacing w:line="340" w:lineRule="auto"/>
              <w:jc w:val="center"/>
            </w:pPr>
            <w:r>
              <w:rPr>
                <w:color w:val="1A1A2E"/>
                <w:sz w:val="18"/>
                <w:szCs w:val="18"/>
              </w:rPr>
              <w:t>69.39</w:t>
            </w:r>
          </w:p>
        </w:tc>
        <w:tc>
          <w:tcPr>
            <w:tcW w:w="1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43B5B21" w14:textId="77777777" w:rsidR="003151A7" w:rsidRDefault="00000000">
            <w:pPr>
              <w:spacing w:line="340" w:lineRule="auto"/>
              <w:jc w:val="center"/>
            </w:pPr>
            <w:r>
              <w:rPr>
                <w:color w:val="1A1A2E"/>
                <w:sz w:val="18"/>
                <w:szCs w:val="18"/>
              </w:rPr>
              <w:t>27.0–95.6</w:t>
            </w:r>
          </w:p>
        </w:tc>
        <w:tc>
          <w:tcPr>
            <w:tcW w:w="3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423EBD6" w14:textId="3558658D" w:rsidR="003151A7" w:rsidRDefault="00000000">
            <w:pPr>
              <w:spacing w:line="340" w:lineRule="auto"/>
            </w:pPr>
            <w:r>
              <w:rPr>
                <w:color w:val="1A1A2E"/>
                <w:sz w:val="18"/>
                <w:szCs w:val="18"/>
              </w:rPr>
              <w:t>Significant Level 2 effect (γ₀₁ = +1.18, p = .003). Policy context independently predicts between-neighborhood variation in language arts after school-level controls - consistent with the prospectus hypothesis that zoning shapes out-of-school learning environments.</w:t>
            </w:r>
          </w:p>
        </w:tc>
      </w:tr>
      <w:tr w:rsidR="003151A7" w14:paraId="16F073E7"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F25C681" w14:textId="77777777" w:rsidR="003151A7" w:rsidRDefault="00000000">
            <w:pPr>
              <w:spacing w:line="340" w:lineRule="auto"/>
            </w:pPr>
            <w:r>
              <w:rPr>
                <w:b/>
                <w:bCs/>
                <w:color w:val="1A1A2E"/>
                <w:sz w:val="18"/>
                <w:szCs w:val="18"/>
              </w:rPr>
              <w:lastRenderedPageBreak/>
              <w:t>Living Environment (Biology)</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73D3FC6" w14:textId="77777777" w:rsidR="003151A7" w:rsidRDefault="00000000">
            <w:pPr>
              <w:spacing w:line="340" w:lineRule="auto"/>
              <w:jc w:val="center"/>
            </w:pPr>
            <w:r>
              <w:rPr>
                <w:color w:val="1A1A2E"/>
                <w:sz w:val="18"/>
                <w:szCs w:val="18"/>
              </w:rPr>
              <w:t>63.11</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3C43A9D" w14:textId="77777777" w:rsidR="003151A7" w:rsidRDefault="00000000">
            <w:pPr>
              <w:spacing w:line="340" w:lineRule="auto"/>
              <w:jc w:val="center"/>
            </w:pPr>
            <w:r>
              <w:rPr>
                <w:color w:val="1A1A2E"/>
                <w:sz w:val="18"/>
                <w:szCs w:val="18"/>
              </w:rPr>
              <w:t>44.6–93.1</w:t>
            </w:r>
          </w:p>
        </w:tc>
        <w:tc>
          <w:tcPr>
            <w:tcW w:w="3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A096EE7" w14:textId="77777777" w:rsidR="003151A7" w:rsidRDefault="00000000">
            <w:pPr>
              <w:spacing w:line="340" w:lineRule="auto"/>
            </w:pPr>
            <w:r>
              <w:rPr>
                <w:color w:val="1A1A2E"/>
                <w:sz w:val="18"/>
                <w:szCs w:val="18"/>
              </w:rPr>
              <w:t>Significant Level 2 effect (γ₀₁ = +0.93, p = .004). A smaller but robust policy context effect. Science outcomes, like ELA, extend beyond in-school instruction to the broader community context.</w:t>
            </w:r>
          </w:p>
        </w:tc>
      </w:tr>
    </w:tbl>
    <w:p w14:paraId="219B328C" w14:textId="77777777" w:rsidR="003151A7" w:rsidRDefault="003151A7">
      <w:pPr>
        <w:spacing w:after="160"/>
      </w:pPr>
    </w:p>
    <w:p w14:paraId="59EEDF3A" w14:textId="5BCF9C55" w:rsidR="003151A7" w:rsidRDefault="00000000">
      <w:pPr>
        <w:pStyle w:val="Heading2"/>
      </w:pPr>
      <w:r>
        <w:t>2.2  Level 1 predictors - school-level composition and organization</w:t>
      </w:r>
    </w:p>
    <w:p w14:paraId="3BF6A104" w14:textId="456E1421" w:rsidR="003151A7" w:rsidRDefault="00000000">
      <w:pPr>
        <w:spacing w:after="180" w:line="400" w:lineRule="auto"/>
      </w:pPr>
      <w:r>
        <w:rPr>
          <w:color w:val="1A1A2E"/>
          <w:sz w:val="21"/>
          <w:szCs w:val="21"/>
        </w:rPr>
        <w:t xml:space="preserve">All continuous predictors are standardized to z-scores before modeling, enabling direct comparison of effect sizes across variables. This includes both </w:t>
      </w:r>
      <w:r>
        <w:rPr>
          <w:b/>
          <w:bCs/>
          <w:color w:val="1A1A2E"/>
          <w:sz w:val="21"/>
          <w:szCs w:val="21"/>
        </w:rPr>
        <w:t>aggregated student body composition</w:t>
      </w:r>
      <w:r>
        <w:rPr>
          <w:color w:val="1A1A2E"/>
          <w:sz w:val="21"/>
          <w:szCs w:val="21"/>
        </w:rPr>
        <w:t xml:space="preserve"> variables (race %, ELL %, economic disadvantage) and </w:t>
      </w:r>
      <w:r>
        <w:rPr>
          <w:b/>
          <w:bCs/>
          <w:color w:val="1A1A2E"/>
          <w:sz w:val="21"/>
          <w:szCs w:val="21"/>
        </w:rPr>
        <w:t>school organization</w:t>
      </w:r>
      <w:r>
        <w:rPr>
          <w:color w:val="1A1A2E"/>
          <w:sz w:val="21"/>
          <w:szCs w:val="21"/>
        </w:rPr>
        <w:t xml:space="preserve"> variables (class size, school type), following the (Bryk, Lee &amp; Holland, 1993) framework.</w:t>
      </w:r>
    </w:p>
    <w:p w14:paraId="7F8BF456"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60"/>
      </w:tblGrid>
      <w:tr w:rsidR="003151A7" w14:paraId="59EC9B76"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72977EF" w14:textId="77777777" w:rsidR="003151A7" w:rsidRDefault="00000000">
            <w:pPr>
              <w:spacing w:line="340" w:lineRule="auto"/>
              <w:jc w:val="center"/>
            </w:pPr>
            <w:r>
              <w:rPr>
                <w:b/>
                <w:bCs/>
                <w:color w:val="FFFFFF"/>
                <w:sz w:val="18"/>
                <w:szCs w:val="18"/>
              </w:rPr>
              <w:t>Variable</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CEAECDB" w14:textId="77777777" w:rsidR="003151A7" w:rsidRDefault="00000000">
            <w:pPr>
              <w:spacing w:line="340" w:lineRule="auto"/>
              <w:jc w:val="center"/>
            </w:pPr>
            <w:r>
              <w:rPr>
                <w:b/>
                <w:bCs/>
                <w:color w:val="FFFFFF"/>
                <w:sz w:val="18"/>
                <w:szCs w:val="18"/>
              </w:rPr>
              <w:t>Type</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B8D7003" w14:textId="77777777" w:rsidR="003151A7" w:rsidRDefault="00000000">
            <w:pPr>
              <w:spacing w:line="340" w:lineRule="auto"/>
              <w:jc w:val="center"/>
            </w:pPr>
            <w:r>
              <w:rPr>
                <w:b/>
                <w:bCs/>
                <w:color w:val="FFFFFF"/>
                <w:sz w:val="18"/>
                <w:szCs w:val="18"/>
              </w:rPr>
              <w:t>Category</w:t>
            </w:r>
          </w:p>
        </w:tc>
        <w:tc>
          <w:tcPr>
            <w:tcW w:w="43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2C0F16DB" w14:textId="77777777" w:rsidR="003151A7" w:rsidRDefault="00000000">
            <w:pPr>
              <w:spacing w:line="340" w:lineRule="auto"/>
              <w:jc w:val="center"/>
            </w:pPr>
            <w:r>
              <w:rPr>
                <w:b/>
                <w:bCs/>
                <w:color w:val="FFFFFF"/>
                <w:sz w:val="18"/>
                <w:szCs w:val="18"/>
              </w:rPr>
              <w:t>Decision and rationale</w:t>
            </w:r>
          </w:p>
        </w:tc>
      </w:tr>
      <w:tr w:rsidR="003151A7" w14:paraId="58E8D3A7"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6514D7C7" w14:textId="77777777" w:rsidR="003151A7" w:rsidRDefault="00000000">
            <w:pPr>
              <w:spacing w:line="340" w:lineRule="auto"/>
            </w:pPr>
            <w:r>
              <w:rPr>
                <w:b/>
                <w:bCs/>
                <w:color w:val="1E6B3C"/>
                <w:sz w:val="17"/>
                <w:szCs w:val="17"/>
              </w:rPr>
              <w:t>Black_Percent  (β₁)</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BA6EC4B" w14:textId="77777777" w:rsidR="003151A7" w:rsidRDefault="00000000">
            <w:pPr>
              <w:spacing w:line="340" w:lineRule="auto"/>
              <w:jc w:val="center"/>
            </w:pPr>
            <w:r>
              <w:rPr>
                <w:color w:val="1E6B3C"/>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DC3F4E0" w14:textId="77777777" w:rsidR="003151A7" w:rsidRDefault="00000000">
            <w:pPr>
              <w:spacing w:line="340" w:lineRule="auto"/>
              <w:jc w:val="center"/>
            </w:pPr>
            <w:r>
              <w:rPr>
                <w:color w:val="1E6B3C"/>
                <w:sz w:val="17"/>
                <w:szCs w:val="17"/>
              </w:rPr>
              <w:t>Student body composition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61962A7C" w14:textId="467BC645" w:rsidR="003151A7" w:rsidRDefault="00000000">
            <w:pPr>
              <w:spacing w:line="340" w:lineRule="auto"/>
            </w:pPr>
            <w:r>
              <w:rPr>
                <w:color w:val="1A1A2E"/>
                <w:sz w:val="17"/>
                <w:szCs w:val="17"/>
              </w:rPr>
              <w:t>Kept. Represents the distribution of student racial enrollment across schools - a school-level aggregate reflecting enrollment patterns, not an individual-level attribute.</w:t>
            </w:r>
          </w:p>
        </w:tc>
      </w:tr>
      <w:tr w:rsidR="003151A7" w14:paraId="139819A4"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770C8A20" w14:textId="77777777" w:rsidR="003151A7" w:rsidRDefault="00000000">
            <w:pPr>
              <w:spacing w:line="340" w:lineRule="auto"/>
            </w:pPr>
            <w:r>
              <w:rPr>
                <w:b/>
                <w:bCs/>
                <w:color w:val="1E6B3C"/>
                <w:sz w:val="17"/>
                <w:szCs w:val="17"/>
              </w:rPr>
              <w:t>Hispanic_Percent  (β₂)</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371BF35F" w14:textId="77777777" w:rsidR="003151A7" w:rsidRDefault="00000000">
            <w:pPr>
              <w:spacing w:line="340" w:lineRule="auto"/>
              <w:jc w:val="center"/>
            </w:pPr>
            <w:r>
              <w:rPr>
                <w:color w:val="1E6B3C"/>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46546631" w14:textId="77777777" w:rsidR="003151A7" w:rsidRDefault="00000000">
            <w:pPr>
              <w:spacing w:line="340" w:lineRule="auto"/>
              <w:jc w:val="center"/>
            </w:pPr>
            <w:r>
              <w:rPr>
                <w:color w:val="1E6B3C"/>
                <w:sz w:val="17"/>
                <w:szCs w:val="17"/>
              </w:rPr>
              <w:t>Student body composition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2EE1481C" w14:textId="5488EDEE" w:rsidR="003151A7" w:rsidRDefault="00000000">
            <w:pPr>
              <w:spacing w:line="340" w:lineRule="auto"/>
            </w:pPr>
            <w:r>
              <w:rPr>
                <w:color w:val="1A1A2E"/>
                <w:sz w:val="17"/>
                <w:szCs w:val="17"/>
              </w:rPr>
              <w:t>Kept. Largest group in dataset (mean 52.8%). VIF = 7.83 - elevated due to compositional constraint (percentages sum to 100%), not structural multicollinearity.</w:t>
            </w:r>
          </w:p>
        </w:tc>
      </w:tr>
      <w:tr w:rsidR="003151A7" w14:paraId="57E450B7"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4D1C5649" w14:textId="77777777" w:rsidR="003151A7" w:rsidRDefault="00000000">
            <w:pPr>
              <w:spacing w:line="340" w:lineRule="auto"/>
            </w:pPr>
            <w:r>
              <w:rPr>
                <w:b/>
                <w:bCs/>
                <w:color w:val="1E6B3C"/>
                <w:sz w:val="17"/>
                <w:szCs w:val="17"/>
              </w:rPr>
              <w:t>Asian_Percent  (β₃)</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32700B7" w14:textId="77777777" w:rsidR="003151A7" w:rsidRDefault="00000000">
            <w:pPr>
              <w:spacing w:line="340" w:lineRule="auto"/>
              <w:jc w:val="center"/>
            </w:pPr>
            <w:r>
              <w:rPr>
                <w:color w:val="1E6B3C"/>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A53504A" w14:textId="77777777" w:rsidR="003151A7" w:rsidRDefault="00000000">
            <w:pPr>
              <w:spacing w:line="340" w:lineRule="auto"/>
              <w:jc w:val="center"/>
            </w:pPr>
            <w:r>
              <w:rPr>
                <w:color w:val="1E6B3C"/>
                <w:sz w:val="17"/>
                <w:szCs w:val="17"/>
              </w:rPr>
              <w:t>Student body composition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093BD844" w14:textId="77777777" w:rsidR="003151A7" w:rsidRDefault="00000000">
            <w:pPr>
              <w:spacing w:line="340" w:lineRule="auto"/>
            </w:pPr>
            <w:r>
              <w:rPr>
                <w:color w:val="1A1A2E"/>
                <w:sz w:val="17"/>
                <w:szCs w:val="17"/>
              </w:rPr>
              <w:t>Kept. Highly skewed (median 0%). Coefficient partly reflects specialized high school composition; sensitivity analysis confirms this.</w:t>
            </w:r>
          </w:p>
        </w:tc>
      </w:tr>
      <w:tr w:rsidR="003151A7" w14:paraId="7F9D16E7"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6CF9562B" w14:textId="77777777" w:rsidR="003151A7" w:rsidRDefault="00000000">
            <w:pPr>
              <w:spacing w:line="340" w:lineRule="auto"/>
            </w:pPr>
            <w:r>
              <w:rPr>
                <w:color w:val="7A4F00"/>
                <w:sz w:val="17"/>
                <w:szCs w:val="17"/>
              </w:rPr>
              <w:t>White_Percent</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46B99B8" w14:textId="77777777" w:rsidR="003151A7" w:rsidRDefault="00000000">
            <w:pPr>
              <w:spacing w:line="340" w:lineRule="auto"/>
              <w:jc w:val="center"/>
            </w:pPr>
            <w:r>
              <w:rPr>
                <w:color w:val="7A4F00"/>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1EF5097A" w14:textId="77777777" w:rsidR="003151A7" w:rsidRDefault="00000000">
            <w:pPr>
              <w:spacing w:line="340" w:lineRule="auto"/>
              <w:jc w:val="center"/>
            </w:pPr>
            <w:r>
              <w:rPr>
                <w:color w:val="7A4F00"/>
                <w:sz w:val="17"/>
                <w:szCs w:val="17"/>
              </w:rPr>
              <w:t>Reference category</w:t>
            </w:r>
          </w:p>
        </w:tc>
        <w:tc>
          <w:tcPr>
            <w:tcW w:w="43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39795ACC" w14:textId="785589F2" w:rsidR="003151A7" w:rsidRDefault="00000000">
            <w:pPr>
              <w:spacing w:line="340" w:lineRule="auto"/>
            </w:pPr>
            <w:r>
              <w:rPr>
                <w:color w:val="5A3A00"/>
                <w:sz w:val="17"/>
                <w:szCs w:val="17"/>
              </w:rPr>
              <w:t>Excluded - race percentages sum to 100% at every school. Including all four creates perfect multicollinearity (singular matrix). White% is the implicit reference category for all racial composition coefficients.</w:t>
            </w:r>
          </w:p>
        </w:tc>
      </w:tr>
      <w:tr w:rsidR="003151A7" w14:paraId="5C6C91D6"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20DE9DCB" w14:textId="77777777" w:rsidR="003151A7" w:rsidRDefault="00000000">
            <w:pPr>
              <w:spacing w:line="340" w:lineRule="auto"/>
              <w:rPr>
                <w:b/>
                <w:bCs/>
                <w:color w:val="1E6B3C"/>
                <w:sz w:val="17"/>
                <w:szCs w:val="17"/>
              </w:rPr>
            </w:pPr>
            <w:r>
              <w:rPr>
                <w:b/>
                <w:bCs/>
                <w:color w:val="1E6B3C"/>
                <w:sz w:val="17"/>
                <w:szCs w:val="17"/>
              </w:rPr>
              <w:t>ELL_Percent  (β₄)</w:t>
            </w:r>
          </w:p>
          <w:p w14:paraId="4884911B" w14:textId="709FD498" w:rsidR="00A80AAA" w:rsidRDefault="00A80AAA">
            <w:pPr>
              <w:spacing w:line="340" w:lineRule="auto"/>
            </w:pPr>
            <w:r>
              <w:rPr>
                <w:b/>
                <w:bCs/>
                <w:color w:val="1E6B3C"/>
                <w:sz w:val="17"/>
                <w:szCs w:val="17"/>
              </w:rPr>
              <w:t>(English Language Learners)</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0BF95F2" w14:textId="77777777" w:rsidR="003151A7" w:rsidRDefault="00000000">
            <w:pPr>
              <w:spacing w:line="340" w:lineRule="auto"/>
              <w:jc w:val="center"/>
            </w:pPr>
            <w:r>
              <w:rPr>
                <w:color w:val="1E6B3C"/>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0E83649" w14:textId="77777777" w:rsidR="003151A7" w:rsidRDefault="00000000">
            <w:pPr>
              <w:spacing w:line="340" w:lineRule="auto"/>
              <w:jc w:val="center"/>
            </w:pPr>
            <w:r>
              <w:rPr>
                <w:color w:val="1E6B3C"/>
                <w:sz w:val="17"/>
                <w:szCs w:val="17"/>
              </w:rPr>
              <w:t>Student body composition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17777267" w14:textId="77777777" w:rsidR="003151A7" w:rsidRDefault="00000000">
            <w:pPr>
              <w:spacing w:line="340" w:lineRule="auto"/>
            </w:pPr>
            <w:r>
              <w:rPr>
                <w:color w:val="1A1A2E"/>
                <w:sz w:val="17"/>
                <w:szCs w:val="17"/>
              </w:rPr>
              <w:t>Kept. Subject-specific effect (near-zero for Algebra, dominant for ELA at β = −4.80) confirms this is a language-assessment mechanism, not a general compositional effect.</w:t>
            </w:r>
          </w:p>
        </w:tc>
      </w:tr>
      <w:tr w:rsidR="003151A7" w14:paraId="3855D0D6"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4C23B654" w14:textId="77777777" w:rsidR="003151A7" w:rsidRDefault="00000000">
            <w:pPr>
              <w:spacing w:line="340" w:lineRule="auto"/>
            </w:pPr>
            <w:r>
              <w:rPr>
                <w:b/>
                <w:bCs/>
                <w:color w:val="1E6B3C"/>
                <w:sz w:val="17"/>
                <w:szCs w:val="17"/>
              </w:rPr>
              <w:t>EconDisadvantaged_Pct  (β₅)</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1168A76" w14:textId="77777777" w:rsidR="003151A7" w:rsidRDefault="00000000">
            <w:pPr>
              <w:spacing w:line="340" w:lineRule="auto"/>
              <w:jc w:val="center"/>
            </w:pPr>
            <w:r>
              <w:rPr>
                <w:color w:val="1E6B3C"/>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8CA9175" w14:textId="77777777" w:rsidR="003151A7" w:rsidRDefault="00000000">
            <w:pPr>
              <w:spacing w:line="340" w:lineRule="auto"/>
              <w:jc w:val="center"/>
            </w:pPr>
            <w:r>
              <w:rPr>
                <w:color w:val="1E6B3C"/>
                <w:sz w:val="17"/>
                <w:szCs w:val="17"/>
              </w:rPr>
              <w:t>Student body composition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7E3AFF01" w14:textId="5C7764B5" w:rsidR="003151A7" w:rsidRDefault="00000000">
            <w:pPr>
              <w:spacing w:line="340" w:lineRule="auto"/>
            </w:pPr>
            <w:r>
              <w:rPr>
                <w:color w:val="1A1A2E"/>
                <w:sz w:val="17"/>
                <w:szCs w:val="17"/>
              </w:rPr>
              <w:t>Kept. Most consistent predictor - significant at p&lt;.001 across all three exams. Represents free/reduced-price lunch eligibility, public assistance, and homeless/migrant status.</w:t>
            </w:r>
          </w:p>
        </w:tc>
      </w:tr>
      <w:tr w:rsidR="003151A7" w14:paraId="451B662B"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4F3964CD" w14:textId="77777777" w:rsidR="003151A7" w:rsidRDefault="00000000">
            <w:pPr>
              <w:spacing w:line="340" w:lineRule="auto"/>
            </w:pPr>
            <w:r>
              <w:rPr>
                <w:b/>
                <w:bCs/>
                <w:color w:val="1E6B3C"/>
                <w:sz w:val="17"/>
                <w:szCs w:val="17"/>
              </w:rPr>
              <w:lastRenderedPageBreak/>
              <w:t>ClassSize  (β₆)</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7DCFC1D" w14:textId="77777777" w:rsidR="003151A7" w:rsidRDefault="00000000">
            <w:pPr>
              <w:spacing w:line="340" w:lineRule="auto"/>
              <w:jc w:val="center"/>
            </w:pPr>
            <w:r>
              <w:rPr>
                <w:color w:val="1E6B3C"/>
                <w:sz w:val="17"/>
                <w:szCs w:val="17"/>
              </w:rPr>
              <w:t>Continuous</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3C0D71A" w14:textId="77777777" w:rsidR="003151A7" w:rsidRDefault="00000000">
            <w:pPr>
              <w:spacing w:line="340" w:lineRule="auto"/>
              <w:jc w:val="center"/>
            </w:pPr>
            <w:r>
              <w:rPr>
                <w:color w:val="1E6B3C"/>
                <w:sz w:val="17"/>
                <w:szCs w:val="17"/>
              </w:rPr>
              <w:t>School organization</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3808CFDF" w14:textId="77777777" w:rsidR="003151A7" w:rsidRDefault="00000000">
            <w:pPr>
              <w:spacing w:line="340" w:lineRule="auto"/>
            </w:pPr>
            <w:r>
              <w:rPr>
                <w:color w:val="1A1A2E"/>
                <w:sz w:val="17"/>
                <w:szCs w:val="17"/>
              </w:rPr>
              <w:t>Kept per March 9 adviser direction; subject-matched. Positive coefficient reflects selection: larger classes concentrate at more resource-rich General Academic schools.</w:t>
            </w:r>
          </w:p>
        </w:tc>
      </w:tr>
      <w:tr w:rsidR="003151A7" w14:paraId="15B453E8"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29EF4886" w14:textId="77777777" w:rsidR="00A80AAA" w:rsidRDefault="00000000">
            <w:pPr>
              <w:spacing w:line="340" w:lineRule="auto"/>
              <w:rPr>
                <w:b/>
                <w:bCs/>
                <w:color w:val="1E6B3C"/>
                <w:sz w:val="17"/>
                <w:szCs w:val="17"/>
              </w:rPr>
            </w:pPr>
            <w:r>
              <w:rPr>
                <w:b/>
                <w:bCs/>
                <w:color w:val="1E6B3C"/>
                <w:sz w:val="17"/>
                <w:szCs w:val="17"/>
              </w:rPr>
              <w:t>CTE  (β₇)</w:t>
            </w:r>
          </w:p>
          <w:p w14:paraId="472B5663" w14:textId="0C1F246A" w:rsidR="00A80AAA" w:rsidRPr="00A80AAA" w:rsidRDefault="00A80AAA">
            <w:pPr>
              <w:spacing w:line="340" w:lineRule="auto"/>
              <w:rPr>
                <w:b/>
                <w:bCs/>
                <w:color w:val="1E6B3C"/>
                <w:sz w:val="17"/>
                <w:szCs w:val="17"/>
              </w:rPr>
            </w:pPr>
            <w:r>
              <w:rPr>
                <w:b/>
                <w:bCs/>
                <w:color w:val="1E6B3C"/>
                <w:sz w:val="17"/>
                <w:szCs w:val="17"/>
              </w:rPr>
              <w:t>(Career Technical Education)</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49DFAD7" w14:textId="77777777" w:rsidR="003151A7" w:rsidRDefault="00000000">
            <w:pPr>
              <w:spacing w:line="340" w:lineRule="auto"/>
              <w:jc w:val="center"/>
            </w:pPr>
            <w:r>
              <w:rPr>
                <w:color w:val="1E6B3C"/>
                <w:sz w:val="17"/>
                <w:szCs w:val="17"/>
              </w:rPr>
              <w:t>Binary 0/1</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BACF302" w14:textId="77777777" w:rsidR="003151A7" w:rsidRDefault="00000000">
            <w:pPr>
              <w:spacing w:line="340" w:lineRule="auto"/>
              <w:jc w:val="center"/>
            </w:pPr>
            <w:r>
              <w:rPr>
                <w:color w:val="1E6B3C"/>
                <w:sz w:val="17"/>
                <w:szCs w:val="17"/>
              </w:rPr>
              <w:t>School type</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54F35297" w14:textId="77777777" w:rsidR="003151A7" w:rsidRDefault="00000000">
            <w:pPr>
              <w:spacing w:line="340" w:lineRule="auto"/>
            </w:pPr>
            <w:r>
              <w:rPr>
                <w:color w:val="1A1A2E"/>
                <w:sz w:val="17"/>
                <w:szCs w:val="17"/>
              </w:rPr>
              <w:t>Kept. Career Technical Education indicator; General Academic is reference. Not significant across exams.</w:t>
            </w:r>
          </w:p>
        </w:tc>
      </w:tr>
      <w:tr w:rsidR="003151A7" w14:paraId="23C553CE"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76998183" w14:textId="77777777" w:rsidR="00A80AAA" w:rsidRDefault="00000000">
            <w:pPr>
              <w:spacing w:line="340" w:lineRule="auto"/>
              <w:rPr>
                <w:b/>
                <w:bCs/>
                <w:color w:val="1E6B3C"/>
                <w:sz w:val="17"/>
                <w:szCs w:val="17"/>
              </w:rPr>
            </w:pPr>
            <w:r>
              <w:rPr>
                <w:b/>
                <w:bCs/>
                <w:color w:val="1E6B3C"/>
                <w:sz w:val="17"/>
                <w:szCs w:val="17"/>
              </w:rPr>
              <w:t>Transfer  (β₈)</w:t>
            </w:r>
          </w:p>
          <w:p w14:paraId="4203B815" w14:textId="51AB19C3" w:rsidR="00A80AAA" w:rsidRPr="00A80AAA" w:rsidRDefault="00A80AAA">
            <w:pPr>
              <w:spacing w:line="340" w:lineRule="auto"/>
              <w:rPr>
                <w:b/>
                <w:bCs/>
                <w:color w:val="1E6B3C"/>
                <w:sz w:val="17"/>
                <w:szCs w:val="17"/>
              </w:rPr>
            </w:pPr>
            <w:r>
              <w:rPr>
                <w:b/>
                <w:bCs/>
                <w:color w:val="1E6B3C"/>
                <w:sz w:val="17"/>
                <w:szCs w:val="17"/>
              </w:rPr>
              <w:t>(Transfer School)</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3B9DE70" w14:textId="77777777" w:rsidR="003151A7" w:rsidRDefault="00000000">
            <w:pPr>
              <w:spacing w:line="340" w:lineRule="auto"/>
              <w:jc w:val="center"/>
            </w:pPr>
            <w:r>
              <w:rPr>
                <w:color w:val="1E6B3C"/>
                <w:sz w:val="17"/>
                <w:szCs w:val="17"/>
              </w:rPr>
              <w:t>Binary 0/1</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C973C3D" w14:textId="77777777" w:rsidR="003151A7" w:rsidRDefault="00000000">
            <w:pPr>
              <w:spacing w:line="340" w:lineRule="auto"/>
              <w:jc w:val="center"/>
            </w:pPr>
            <w:r>
              <w:rPr>
                <w:color w:val="1E6B3C"/>
                <w:sz w:val="17"/>
                <w:szCs w:val="17"/>
              </w:rPr>
              <w:t>School type</w:t>
            </w:r>
          </w:p>
        </w:tc>
        <w:tc>
          <w:tcPr>
            <w:tcW w:w="43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40EEC9ED" w14:textId="77777777" w:rsidR="003151A7" w:rsidRDefault="00000000">
            <w:pPr>
              <w:spacing w:line="340" w:lineRule="auto"/>
            </w:pPr>
            <w:r>
              <w:rPr>
                <w:color w:val="1A1A2E"/>
                <w:sz w:val="17"/>
                <w:szCs w:val="17"/>
              </w:rPr>
              <w:t>Kept. Transfer school indicator. ELA coefficient reflects population served rather than school quality.</w:t>
            </w:r>
          </w:p>
        </w:tc>
      </w:tr>
      <w:tr w:rsidR="003151A7" w14:paraId="7E30022A"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642CBCFB" w14:textId="77777777" w:rsidR="003151A7" w:rsidRDefault="00000000">
            <w:pPr>
              <w:spacing w:line="340" w:lineRule="auto"/>
            </w:pPr>
            <w:r>
              <w:rPr>
                <w:color w:val="64748B"/>
                <w:sz w:val="17"/>
                <w:szCs w:val="17"/>
              </w:rPr>
              <w:t>ATTENDANCE_RATE</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235ADD66" w14:textId="77777777" w:rsidR="003151A7" w:rsidRDefault="00000000">
            <w:pPr>
              <w:spacing w:line="340" w:lineRule="auto"/>
              <w:jc w:val="center"/>
            </w:pPr>
            <w:r>
              <w:rPr>
                <w:color w:val="64748B"/>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6FEC6154" w14:textId="77777777" w:rsidR="003151A7" w:rsidRDefault="00000000">
            <w:pPr>
              <w:spacing w:line="340" w:lineRule="auto"/>
              <w:jc w:val="center"/>
            </w:pPr>
            <w:r>
              <w:rPr>
                <w:color w:val="64748B"/>
                <w:sz w:val="17"/>
                <w:szCs w:val="17"/>
              </w:rPr>
              <w:t>Tested — Level 1</w:t>
            </w:r>
          </w:p>
        </w:tc>
        <w:tc>
          <w:tcPr>
            <w:tcW w:w="436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5A5EB419" w14:textId="77777777" w:rsidR="003151A7" w:rsidRDefault="00000000">
            <w:pPr>
              <w:spacing w:line="340" w:lineRule="auto"/>
            </w:pPr>
            <w:r>
              <w:rPr>
                <w:color w:val="64748B"/>
                <w:sz w:val="17"/>
                <w:szCs w:val="17"/>
              </w:rPr>
              <w:t>Dropped. Creates floor effect in primary model. Transit operates through attendance at Level 1 rather than as an independent Level 2 mechanism.</w:t>
            </w:r>
          </w:p>
        </w:tc>
      </w:tr>
      <w:tr w:rsidR="003151A7" w14:paraId="0DE4B6F1"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12CFF25B" w14:textId="77777777" w:rsidR="003151A7" w:rsidRDefault="00000000">
            <w:pPr>
              <w:spacing w:line="340" w:lineRule="auto"/>
            </w:pPr>
            <w:r>
              <w:rPr>
                <w:color w:val="64748B"/>
                <w:sz w:val="17"/>
                <w:szCs w:val="17"/>
              </w:rPr>
              <w:t>PER_FREE_LUNCH</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4E915284" w14:textId="77777777" w:rsidR="003151A7" w:rsidRDefault="00000000">
            <w:pPr>
              <w:spacing w:line="340" w:lineRule="auto"/>
              <w:jc w:val="center"/>
            </w:pPr>
            <w:r>
              <w:rPr>
                <w:color w:val="64748B"/>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38177A67" w14:textId="77777777" w:rsidR="003151A7" w:rsidRDefault="00000000">
            <w:pPr>
              <w:spacing w:line="340" w:lineRule="auto"/>
              <w:jc w:val="center"/>
            </w:pPr>
            <w:r>
              <w:rPr>
                <w:color w:val="64748B"/>
                <w:sz w:val="17"/>
                <w:szCs w:val="17"/>
              </w:rPr>
              <w:t>Tested — Level 1</w:t>
            </w:r>
          </w:p>
        </w:tc>
        <w:tc>
          <w:tcPr>
            <w:tcW w:w="436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77BFA332" w14:textId="767D471B" w:rsidR="003151A7" w:rsidRDefault="00000000">
            <w:pPr>
              <w:spacing w:line="340" w:lineRule="auto"/>
            </w:pPr>
            <w:r>
              <w:rPr>
                <w:color w:val="64748B"/>
                <w:sz w:val="17"/>
                <w:szCs w:val="17"/>
              </w:rPr>
              <w:t>Dropped. Correlation r = 0.99 with EconDisadvantaged_Pct - redundant. Keeping both would produce near-singular matrix. Lunch is now free across the board in NYS.</w:t>
            </w:r>
          </w:p>
        </w:tc>
      </w:tr>
      <w:tr w:rsidR="003151A7" w14:paraId="43906210" w14:textId="77777777">
        <w:tblPrEx>
          <w:tblCellMar>
            <w:top w:w="0" w:type="dxa"/>
            <w:bottom w:w="0" w:type="dxa"/>
          </w:tblCellMar>
        </w:tblPrEx>
        <w:tc>
          <w:tcPr>
            <w:tcW w:w="26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1A4B061B" w14:textId="77777777" w:rsidR="003151A7" w:rsidRDefault="00000000">
            <w:pPr>
              <w:spacing w:line="340" w:lineRule="auto"/>
            </w:pPr>
            <w:r>
              <w:rPr>
                <w:color w:val="64748B"/>
                <w:sz w:val="17"/>
                <w:szCs w:val="17"/>
              </w:rPr>
              <w:t>Homeless_Pct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4B360962" w14:textId="77777777" w:rsidR="003151A7" w:rsidRDefault="00000000">
            <w:pPr>
              <w:spacing w:line="340" w:lineRule="auto"/>
              <w:jc w:val="center"/>
            </w:pPr>
            <w:r>
              <w:rPr>
                <w:color w:val="64748B"/>
                <w:sz w:val="17"/>
                <w:szCs w:val="17"/>
              </w:rPr>
              <w:t>Continuous %</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7312CAB1" w14:textId="77777777" w:rsidR="003151A7" w:rsidRDefault="00000000">
            <w:pPr>
              <w:spacing w:line="340" w:lineRule="auto"/>
              <w:jc w:val="center"/>
            </w:pPr>
            <w:r>
              <w:rPr>
                <w:color w:val="64748B"/>
                <w:sz w:val="17"/>
                <w:szCs w:val="17"/>
              </w:rPr>
              <w:t>Tested — Level 1</w:t>
            </w:r>
          </w:p>
        </w:tc>
        <w:tc>
          <w:tcPr>
            <w:tcW w:w="436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32F6DD31" w14:textId="0E8FDB5E" w:rsidR="003151A7" w:rsidRDefault="00000000">
            <w:pPr>
              <w:spacing w:line="340" w:lineRule="auto"/>
            </w:pPr>
            <w:r>
              <w:rPr>
                <w:color w:val="64748B"/>
                <w:sz w:val="17"/>
                <w:szCs w:val="17"/>
              </w:rPr>
              <w:t>Dropped. r = 0.53 with EconDisadvantaged_Pct - collinear with a predictor already in the model.</w:t>
            </w:r>
          </w:p>
        </w:tc>
      </w:tr>
    </w:tbl>
    <w:p w14:paraId="150EE1AC" w14:textId="77777777" w:rsidR="003151A7" w:rsidRDefault="003151A7">
      <w:pPr>
        <w:spacing w:after="80"/>
      </w:pPr>
    </w:p>
    <w:p w14:paraId="76F43F80" w14:textId="77777777" w:rsidR="003151A7" w:rsidRDefault="00000000">
      <w:pPr>
        <w:spacing w:after="160" w:line="340" w:lineRule="auto"/>
      </w:pPr>
      <w:r>
        <w:rPr>
          <w:b/>
          <w:bCs/>
          <w:i/>
          <w:iCs/>
          <w:color w:val="64748B"/>
          <w:sz w:val="18"/>
          <w:szCs w:val="18"/>
        </w:rPr>
        <w:t xml:space="preserve">Note. </w:t>
      </w:r>
      <w:r>
        <w:rPr>
          <w:i/>
          <w:iCs/>
          <w:color w:val="64748B"/>
          <w:sz w:val="18"/>
          <w:szCs w:val="18"/>
        </w:rPr>
        <w:t>Green = in final model. Amber = excluded by design (reference category). Gray = tested and rejected. All continuous Level 1 predictors z-scored before entry. VIF for racial composition variables elevated due to compositional constraint (percentages sum to 100%), not structural multicollinearity — confirmed with Dr. Everson.</w:t>
      </w:r>
    </w:p>
    <w:p w14:paraId="1334FE4D" w14:textId="77777777" w:rsidR="003151A7" w:rsidRDefault="003151A7">
      <w:pPr>
        <w:spacing w:after="120"/>
      </w:pPr>
    </w:p>
    <w:p w14:paraId="730C798E" w14:textId="60AD942A" w:rsidR="003151A7" w:rsidRDefault="00000000">
      <w:pPr>
        <w:pStyle w:val="Heading2"/>
      </w:pPr>
      <w:r>
        <w:t>2.3  Level 2 predictor - NEQ policy context index</w:t>
      </w:r>
    </w:p>
    <w:p w14:paraId="40A03585" w14:textId="5063DAB0" w:rsidR="003151A7" w:rsidRDefault="00000000">
      <w:pPr>
        <w:spacing w:after="180" w:line="400" w:lineRule="auto"/>
      </w:pPr>
      <w:r>
        <w:rPr>
          <w:color w:val="1A1A2E"/>
          <w:sz w:val="21"/>
          <w:szCs w:val="21"/>
        </w:rPr>
        <w:t xml:space="preserve">The Neighborhood Educational Quality (NEQ) index is the Level 2 policy/mechanism variable. It operationalizes the zoning and land use context of each school's community district - the policy-set conditions that shape the out-of-school environment for students. Following </w:t>
      </w:r>
      <w:r>
        <w:rPr>
          <w:i/>
          <w:iCs/>
          <w:color w:val="1A1A2E"/>
          <w:sz w:val="21"/>
          <w:szCs w:val="21"/>
        </w:rPr>
        <w:t>Angotti &amp; Morse (2023)</w:t>
      </w:r>
      <w:r>
        <w:rPr>
          <w:color w:val="1A1A2E"/>
          <w:sz w:val="21"/>
          <w:szCs w:val="21"/>
        </w:rPr>
        <w:t xml:space="preserve"> and </w:t>
      </w:r>
      <w:r>
        <w:rPr>
          <w:i/>
          <w:iCs/>
          <w:color w:val="1A1A2E"/>
          <w:sz w:val="21"/>
          <w:szCs w:val="21"/>
        </w:rPr>
        <w:t>Caro (1974)</w:t>
      </w:r>
      <w:r>
        <w:rPr>
          <w:color w:val="1A1A2E"/>
          <w:sz w:val="21"/>
          <w:szCs w:val="21"/>
        </w:rPr>
        <w:t>, the argument is that zoning decisions are not neutral - they represent planning policy choices that have distributed commercial density and residential character differently across the city. The NEQ index makes this measurable. It is constructed entirely from NYC PLUTO planning data; no Regents score data enters the index construction.</w:t>
      </w:r>
    </w:p>
    <w:p w14:paraId="5D320FBF" w14:textId="77777777" w:rsidR="003151A7" w:rsidRDefault="003151A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1A7" w14:paraId="6342D70B" w14:textId="77777777">
        <w:tblPrEx>
          <w:tblCellMar>
            <w:top w:w="0" w:type="dxa"/>
            <w:bottom w:w="0" w:type="dxa"/>
          </w:tblCellMar>
        </w:tblPrEx>
        <w:tc>
          <w:tcPr>
            <w:tcW w:w="9360" w:type="dxa"/>
            <w:tcBorders>
              <w:top w:val="single" w:sz="1" w:space="0" w:color="D1D9E8"/>
              <w:left w:val="single" w:sz="1" w:space="0" w:color="D1D9E8"/>
              <w:bottom w:val="single" w:sz="1" w:space="0" w:color="D1D9E8"/>
              <w:right w:val="single" w:sz="1" w:space="0" w:color="D1D9E8"/>
            </w:tcBorders>
            <w:shd w:val="clear" w:color="auto" w:fill="F8FBFF"/>
            <w:tcMar>
              <w:top w:w="140" w:type="dxa"/>
              <w:left w:w="240" w:type="dxa"/>
              <w:bottom w:w="140" w:type="dxa"/>
              <w:right w:w="240" w:type="dxa"/>
            </w:tcMar>
          </w:tcPr>
          <w:p w14:paraId="649309D2" w14:textId="4788FF58" w:rsidR="003151A7" w:rsidRDefault="00000000">
            <w:pPr>
              <w:spacing w:after="60"/>
            </w:pPr>
            <w:r>
              <w:rPr>
                <w:b/>
                <w:bCs/>
                <w:color w:val="1A56C4"/>
                <w:sz w:val="18"/>
                <w:szCs w:val="18"/>
              </w:rPr>
              <w:t>NEQ construction - following Bryk, Lee &amp; Holland (1993) raw-score analog method</w:t>
            </w:r>
          </w:p>
          <w:p w14:paraId="77ECABA8" w14:textId="77777777" w:rsidR="003151A7" w:rsidRDefault="00000000">
            <w:pPr>
              <w:spacing w:after="60" w:line="360" w:lineRule="auto"/>
            </w:pPr>
            <w:r>
              <w:rPr>
                <w:i/>
                <w:iCs/>
                <w:color w:val="0D2B5E"/>
                <w:sz w:val="19"/>
                <w:szCs w:val="19"/>
              </w:rPr>
              <w:t>Step 1:   CommFAR_z  =  z-score (mean commercial FAR per community district)</w:t>
            </w:r>
          </w:p>
          <w:p w14:paraId="4D823B39" w14:textId="77777777" w:rsidR="003151A7" w:rsidRDefault="00000000">
            <w:pPr>
              <w:spacing w:after="60" w:line="360" w:lineRule="auto"/>
            </w:pPr>
            <w:r>
              <w:rPr>
                <w:i/>
                <w:iCs/>
                <w:color w:val="0D2B5E"/>
                <w:sz w:val="19"/>
                <w:szCs w:val="19"/>
              </w:rPr>
              <w:t>Step 2:   ResZone_z  =  z-score (−1 × proportion of lots in residential zoning)   [flipped]</w:t>
            </w:r>
          </w:p>
          <w:p w14:paraId="1826E8D4" w14:textId="77777777" w:rsidR="003151A7" w:rsidRDefault="00000000">
            <w:pPr>
              <w:spacing w:after="60" w:line="360" w:lineRule="auto"/>
            </w:pPr>
            <w:r>
              <w:rPr>
                <w:i/>
                <w:iCs/>
                <w:color w:val="0D2B5E"/>
                <w:sz w:val="19"/>
                <w:szCs w:val="19"/>
              </w:rPr>
              <w:t>Step 3:   NEQ_raw   =  CommFAR_z  +  ResZone_z</w:t>
            </w:r>
          </w:p>
          <w:p w14:paraId="27BECECE" w14:textId="77777777" w:rsidR="003151A7" w:rsidRDefault="00000000">
            <w:pPr>
              <w:spacing w:after="60" w:line="360" w:lineRule="auto"/>
            </w:pPr>
            <w:r>
              <w:rPr>
                <w:i/>
                <w:iCs/>
                <w:color w:val="0D2B5E"/>
                <w:sz w:val="19"/>
                <w:szCs w:val="19"/>
              </w:rPr>
              <w:lastRenderedPageBreak/>
              <w:t>Step 4:   NEQ_score  =  1  +  9 × (NEQ_raw − min) / (max − min)   [rescales to 1–10]</w:t>
            </w:r>
          </w:p>
          <w:p w14:paraId="5E107ABE" w14:textId="77777777" w:rsidR="003151A7" w:rsidRDefault="00000000">
            <w:pPr>
              <w:spacing w:after="60" w:line="360" w:lineRule="auto"/>
            </w:pPr>
            <w:r>
              <w:rPr>
                <w:i/>
                <w:iCs/>
                <w:color w:val="0D2B5E"/>
                <w:sz w:val="19"/>
                <w:szCs w:val="19"/>
              </w:rPr>
              <w:t>Step 5:   NEQ_z     =  z-score (NEQ_score)   [for Level 2 regression; γ₀₁ is per SD]</w:t>
            </w:r>
          </w:p>
          <w:p w14:paraId="3941B6EC" w14:textId="77777777" w:rsidR="003151A7" w:rsidRDefault="003151A7">
            <w:pPr>
              <w:spacing w:after="60" w:line="360" w:lineRule="auto"/>
            </w:pPr>
          </w:p>
          <w:p w14:paraId="291344CB" w14:textId="77777777" w:rsidR="003151A7" w:rsidRDefault="00000000">
            <w:pPr>
              <w:spacing w:after="60" w:line="360" w:lineRule="auto"/>
            </w:pPr>
            <w:r>
              <w:rPr>
                <w:color w:val="64748B"/>
                <w:sz w:val="18"/>
                <w:szCs w:val="18"/>
              </w:rPr>
              <w:t>Data source: NYC PLUTO 2025 v25.2 — 857,736 lot records aggregated to 43 community districts</w:t>
            </w:r>
          </w:p>
        </w:tc>
      </w:tr>
    </w:tbl>
    <w:p w14:paraId="16409CC9" w14:textId="77777777" w:rsidR="003151A7" w:rsidRDefault="003151A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00"/>
        <w:gridCol w:w="4400"/>
      </w:tblGrid>
      <w:tr w:rsidR="003151A7" w14:paraId="4B74B101" w14:textId="77777777">
        <w:tblPrEx>
          <w:tblCellMar>
            <w:top w:w="0" w:type="dxa"/>
            <w:bottom w:w="0" w:type="dxa"/>
          </w:tblCellMar>
        </w:tblPrEx>
        <w:tc>
          <w:tcPr>
            <w:tcW w:w="15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7CB920D" w14:textId="77777777" w:rsidR="003151A7" w:rsidRDefault="00000000">
            <w:pPr>
              <w:spacing w:line="340" w:lineRule="auto"/>
              <w:jc w:val="center"/>
            </w:pPr>
            <w:r>
              <w:rPr>
                <w:b/>
                <w:bCs/>
                <w:color w:val="FFFFFF"/>
                <w:sz w:val="18"/>
                <w:szCs w:val="18"/>
              </w:rPr>
              <w:t>Component</w:t>
            </w:r>
          </w:p>
        </w:tc>
        <w:tc>
          <w:tcPr>
            <w:tcW w:w="3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7AEDE0D" w14:textId="77777777" w:rsidR="003151A7" w:rsidRDefault="00000000">
            <w:pPr>
              <w:spacing w:line="340" w:lineRule="auto"/>
              <w:jc w:val="center"/>
            </w:pPr>
            <w:r>
              <w:rPr>
                <w:b/>
                <w:bCs/>
                <w:color w:val="FFFFFF"/>
                <w:sz w:val="18"/>
                <w:szCs w:val="18"/>
              </w:rPr>
              <w:t>Variable and source</w:t>
            </w:r>
          </w:p>
        </w:tc>
        <w:tc>
          <w:tcPr>
            <w:tcW w:w="4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A89970D" w14:textId="77777777" w:rsidR="003151A7" w:rsidRDefault="00000000">
            <w:pPr>
              <w:spacing w:line="340" w:lineRule="auto"/>
              <w:jc w:val="center"/>
            </w:pPr>
            <w:r>
              <w:rPr>
                <w:b/>
                <w:bCs/>
                <w:color w:val="FFFFFF"/>
                <w:sz w:val="18"/>
                <w:szCs w:val="18"/>
              </w:rPr>
              <w:t>Policy mechanism rationale</w:t>
            </w:r>
          </w:p>
        </w:tc>
      </w:tr>
      <w:tr w:rsidR="003151A7" w14:paraId="27260BC1" w14:textId="77777777">
        <w:tblPrEx>
          <w:tblCellMar>
            <w:top w:w="0" w:type="dxa"/>
            <w:bottom w:w="0" w:type="dxa"/>
          </w:tblCellMar>
        </w:tblPrEx>
        <w:tc>
          <w:tcPr>
            <w:tcW w:w="156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6B740B0" w14:textId="63BF9515" w:rsidR="003151A7" w:rsidRDefault="00000000">
            <w:pPr>
              <w:spacing w:line="340" w:lineRule="auto"/>
            </w:pPr>
            <w:r>
              <w:rPr>
                <w:b/>
                <w:bCs/>
                <w:color w:val="0D2B5E"/>
                <w:sz w:val="17"/>
                <w:szCs w:val="17"/>
              </w:rPr>
              <w:t>1 - Zoning density</w:t>
            </w:r>
          </w:p>
        </w:tc>
        <w:tc>
          <w:tcPr>
            <w:tcW w:w="3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4F398B29" w14:textId="68044D4D" w:rsidR="003151A7" w:rsidRDefault="00000000">
            <w:pPr>
              <w:spacing w:line="340" w:lineRule="auto"/>
            </w:pPr>
            <w:r>
              <w:rPr>
                <w:color w:val="1A1A2E"/>
                <w:sz w:val="17"/>
                <w:szCs w:val="17"/>
              </w:rPr>
              <w:t>Mean Commercial FAR (floor area ratio) per community district PLUTO field: ComFAR Range: 0.001 (Bayside–Little Neck) to 12.24 (Lower Manhattan)</w:t>
            </w:r>
          </w:p>
        </w:tc>
        <w:tc>
          <w:tcPr>
            <w:tcW w:w="4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6D9C7AF5" w14:textId="5B9FCECC" w:rsidR="003151A7" w:rsidRDefault="00000000">
            <w:pPr>
              <w:spacing w:line="340" w:lineRule="auto"/>
            </w:pPr>
            <w:r>
              <w:rPr>
                <w:color w:val="1A1A2E"/>
                <w:sz w:val="17"/>
                <w:szCs w:val="17"/>
              </w:rPr>
              <w:t>Floor Area Ratio is set directly by the NYC Zoning Resolution. High commercial FAR indicates that the city has permitted - through zoning law - intensive commercial development. This is a policy output..</w:t>
            </w:r>
          </w:p>
        </w:tc>
      </w:tr>
      <w:tr w:rsidR="003151A7" w14:paraId="01DF10B8" w14:textId="77777777">
        <w:tblPrEx>
          <w:tblCellMar>
            <w:top w:w="0" w:type="dxa"/>
            <w:bottom w:w="0" w:type="dxa"/>
          </w:tblCellMar>
        </w:tblPrEx>
        <w:tc>
          <w:tcPr>
            <w:tcW w:w="1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99DC39A" w14:textId="3E4680FB" w:rsidR="003151A7" w:rsidRDefault="00000000">
            <w:pPr>
              <w:spacing w:line="340" w:lineRule="auto"/>
            </w:pPr>
            <w:r>
              <w:rPr>
                <w:b/>
                <w:bCs/>
                <w:color w:val="0D2B5E"/>
                <w:sz w:val="17"/>
                <w:szCs w:val="17"/>
              </w:rPr>
              <w:t>2 - Land use mix</w:t>
            </w:r>
          </w:p>
        </w:tc>
        <w:tc>
          <w:tcPr>
            <w:tcW w:w="3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465D8A4" w14:textId="77777777" w:rsidR="003151A7" w:rsidRDefault="00000000">
            <w:pPr>
              <w:spacing w:line="340" w:lineRule="auto"/>
            </w:pPr>
            <w:r>
              <w:rPr>
                <w:color w:val="1A1A2E"/>
                <w:sz w:val="17"/>
                <w:szCs w:val="17"/>
              </w:rPr>
              <w:t>Proportion of lots in residential zoning (flipped) PLUTO field: ZoneDist1 begins with "R" Flipped: lower residential zone % → higher NEQ</w:t>
            </w:r>
          </w:p>
        </w:tc>
        <w:tc>
          <w:tcPr>
            <w:tcW w:w="4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234E26C" w14:textId="740FF835" w:rsidR="003151A7" w:rsidRDefault="00000000">
            <w:pPr>
              <w:spacing w:line="340" w:lineRule="auto"/>
            </w:pPr>
            <w:r>
              <w:rPr>
                <w:color w:val="1A1A2E"/>
                <w:sz w:val="17"/>
                <w:szCs w:val="17"/>
              </w:rPr>
              <w:t>A community district that is 95% residentially zoned has limited land allocated to other uses. That constraint reflects planning decisions - per Angotti &amp; Morse (2023) - that can restrict the commercial and civic life of a neighborhood.</w:t>
            </w:r>
          </w:p>
        </w:tc>
      </w:tr>
    </w:tbl>
    <w:p w14:paraId="65912142" w14:textId="77777777" w:rsidR="003151A7" w:rsidRDefault="003151A7">
      <w:pPr>
        <w:spacing w:after="80"/>
      </w:pPr>
    </w:p>
    <w:p w14:paraId="0BB5C696" w14:textId="7CCCBF59" w:rsidR="003151A7" w:rsidRDefault="00000000">
      <w:pPr>
        <w:spacing w:after="180" w:line="400" w:lineRule="auto"/>
      </w:pPr>
      <w:r>
        <w:rPr>
          <w:b/>
          <w:bCs/>
          <w:color w:val="1A1A2E"/>
          <w:sz w:val="21"/>
          <w:szCs w:val="21"/>
        </w:rPr>
        <w:t xml:space="preserve">Additional Level 2 policy variables tested but excluded: </w:t>
      </w:r>
      <w:r>
        <w:rPr>
          <w:color w:val="1A1A2E"/>
          <w:sz w:val="21"/>
          <w:szCs w:val="21"/>
        </w:rPr>
        <w:t>transit distance (MTA OpenData) - operates through school attendance at Level 1 rather than as an independent Level 2 effect; NTA poverty % (ACS 2018) - collinear with school-level EconDisadvantaged_Pct; NYCCHA density (NYCCHA Data Book 2025) - overlaps with zoning pattern; park access (NYC DOH EHDP 2023) - no independent signal (r = −.17 with scores); median income (ACS 2023) - collinear with Level 1 economic disadvantage.</w:t>
      </w:r>
    </w:p>
    <w:p w14:paraId="5790184C" w14:textId="77777777" w:rsidR="003151A7" w:rsidRDefault="003151A7">
      <w:pPr>
        <w:spacing w:after="80"/>
      </w:pPr>
    </w:p>
    <w:p w14:paraId="4E00F11A" w14:textId="0088091E" w:rsidR="003151A7" w:rsidRDefault="00000000">
      <w:pPr>
        <w:spacing w:after="180" w:line="400" w:lineRule="auto"/>
      </w:pPr>
      <w:r>
        <w:rPr>
          <w:b/>
          <w:bCs/>
          <w:color w:val="1A1A2E"/>
          <w:sz w:val="21"/>
          <w:szCs w:val="21"/>
        </w:rPr>
        <w:t xml:space="preserve">NEQ scale: </w:t>
      </w:r>
      <w:r>
        <w:rPr>
          <w:color w:val="1A1A2E"/>
          <w:sz w:val="21"/>
          <w:szCs w:val="21"/>
        </w:rPr>
        <w:t>1.00 (Fresh Meadows - low commercial density, predominantly residential) to 10.00 (Lower Manhattan - high commercial density, minimal residential zoning). Full construction details available in the accompanying data workbook.</w:t>
      </w:r>
    </w:p>
    <w:p w14:paraId="152E55F4" w14:textId="77777777" w:rsidR="003151A7" w:rsidRDefault="003151A7">
      <w:pPr>
        <w:spacing w:after="160"/>
      </w:pPr>
    </w:p>
    <w:p w14:paraId="2DA42D83" w14:textId="77777777" w:rsidR="003151A7" w:rsidRDefault="00000000">
      <w:pPr>
        <w:pStyle w:val="Heading1"/>
      </w:pPr>
      <w:r>
        <w:t>3.  Model Specification</w:t>
      </w:r>
    </w:p>
    <w:p w14:paraId="0E72B317" w14:textId="77777777" w:rsidR="003151A7" w:rsidRDefault="003151A7">
      <w:pPr>
        <w:pBdr>
          <w:bottom w:val="single" w:sz="6" w:space="1" w:color="1A56C4"/>
        </w:pBdr>
        <w:spacing w:before="60" w:after="60"/>
      </w:pPr>
    </w:p>
    <w:p w14:paraId="614D2B2E" w14:textId="77777777" w:rsidR="003151A7" w:rsidRDefault="003151A7">
      <w:pPr>
        <w:spacing w:after="80"/>
      </w:pPr>
    </w:p>
    <w:p w14:paraId="687E7BE5" w14:textId="73BDE6B7" w:rsidR="003151A7" w:rsidRDefault="00000000">
      <w:pPr>
        <w:spacing w:after="180" w:line="400" w:lineRule="auto"/>
      </w:pPr>
      <w:r>
        <w:rPr>
          <w:color w:val="1A1A2E"/>
          <w:sz w:val="21"/>
          <w:szCs w:val="21"/>
        </w:rPr>
        <w:t xml:space="preserve">This study employs a two-level Hierarchical Linear Model (HLM), the methodology specified in the thesis prospectus. HLM is necessary because schools are nested within community districts and are not statistically independent - schools within the same district share policy context conditions that make their outcomes more </w:t>
        <w:lastRenderedPageBreak/>
        <w:t>similar to each other than to schools in other districts. Ordinary Least Squares regression would produce incorrect standard errors under this nested data structure (Snijders &amp; Bosker, 1999). The ICC (Intraclass Correlation Coefficient) confirms that neighborhood membership explains a meaningful share of between-school performance variation before any predictors are added.</w:t>
      </w:r>
    </w:p>
    <w:p w14:paraId="5763E784" w14:textId="77777777" w:rsidR="003151A7" w:rsidRDefault="003151A7">
      <w:pPr>
        <w:spacing w:after="120"/>
      </w:pPr>
    </w:p>
    <w:p w14:paraId="2EB59F4D" w14:textId="78AC642A" w:rsidR="003151A7" w:rsidRDefault="00000000">
      <w:pPr>
        <w:pStyle w:val="Heading2"/>
      </w:pPr>
      <w:r>
        <w:t>3.1  Model 1 - Null model (unconditional)</w:t>
      </w:r>
    </w:p>
    <w:p w14:paraId="08AD197A" w14:textId="77777777" w:rsidR="003151A7" w:rsidRDefault="00000000">
      <w:pPr>
        <w:spacing w:after="180" w:line="400" w:lineRule="auto"/>
      </w:pPr>
      <w:r>
        <w:rPr>
          <w:color w:val="1A1A2E"/>
          <w:sz w:val="21"/>
          <w:szCs w:val="21"/>
        </w:rPr>
        <w:t>The unconditional model contains no predictors. It partitions total variance in mean Regents scores into within-community-district (σ²) and between-community-district (τ₀₀) components. The ICC determines whether the HLM approach is justified.</w:t>
      </w:r>
    </w:p>
    <w:p w14:paraId="73B72240"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1A7" w14:paraId="01CE2822" w14:textId="77777777">
        <w:tblPrEx>
          <w:tblCellMar>
            <w:top w:w="0" w:type="dxa"/>
            <w:bottom w:w="0" w:type="dxa"/>
          </w:tblCellMar>
        </w:tblPrEx>
        <w:tc>
          <w:tcPr>
            <w:tcW w:w="9360" w:type="dxa"/>
            <w:tcBorders>
              <w:top w:val="single" w:sz="1" w:space="0" w:color="D1D9E8"/>
              <w:left w:val="single" w:sz="1" w:space="0" w:color="D1D9E8"/>
              <w:bottom w:val="single" w:sz="1" w:space="0" w:color="D1D9E8"/>
              <w:right w:val="single" w:sz="1" w:space="0" w:color="D1D9E8"/>
            </w:tcBorders>
            <w:shd w:val="clear" w:color="auto" w:fill="F8FBFF"/>
            <w:tcMar>
              <w:top w:w="140" w:type="dxa"/>
              <w:left w:w="240" w:type="dxa"/>
              <w:bottom w:w="140" w:type="dxa"/>
              <w:right w:w="240" w:type="dxa"/>
            </w:tcMar>
          </w:tcPr>
          <w:p w14:paraId="53A9F5A6" w14:textId="77777777" w:rsidR="003151A7" w:rsidRDefault="00000000">
            <w:pPr>
              <w:spacing w:after="60"/>
            </w:pPr>
            <w:r>
              <w:rPr>
                <w:b/>
                <w:bCs/>
                <w:color w:val="1A56C4"/>
                <w:sz w:val="18"/>
                <w:szCs w:val="18"/>
              </w:rPr>
              <w:t>Null model equations</w:t>
            </w:r>
          </w:p>
          <w:p w14:paraId="3A41B9A5" w14:textId="77777777" w:rsidR="003151A7" w:rsidRDefault="00000000">
            <w:pPr>
              <w:spacing w:after="60" w:line="360" w:lineRule="auto"/>
            </w:pPr>
            <w:r>
              <w:rPr>
                <w:b/>
                <w:bCs/>
                <w:i/>
                <w:iCs/>
                <w:color w:val="0D2B5E"/>
                <w:sz w:val="21"/>
                <w:szCs w:val="21"/>
              </w:rPr>
              <w:t>Score_ij  =  β₀j  +  r_ij</w:t>
            </w:r>
          </w:p>
          <w:p w14:paraId="067BCEB4" w14:textId="77777777" w:rsidR="003151A7" w:rsidRDefault="00000000">
            <w:pPr>
              <w:spacing w:after="80" w:line="360" w:lineRule="auto"/>
            </w:pPr>
            <w:r>
              <w:rPr>
                <w:b/>
                <w:bCs/>
                <w:i/>
                <w:iCs/>
                <w:color w:val="0D2B5E"/>
                <w:sz w:val="21"/>
                <w:szCs w:val="21"/>
              </w:rPr>
              <w:t>β₀j  =  γ₀₀  +  U₀j</w:t>
            </w:r>
          </w:p>
          <w:p w14:paraId="56B5881C" w14:textId="77777777" w:rsidR="003151A7" w:rsidRDefault="00000000">
            <w:pPr>
              <w:spacing w:after="40" w:line="360" w:lineRule="auto"/>
            </w:pPr>
            <w:r>
              <w:rPr>
                <w:i/>
                <w:iCs/>
                <w:color w:val="0D2B5E"/>
                <w:sz w:val="20"/>
                <w:szCs w:val="20"/>
              </w:rPr>
              <w:t>ICC  =  τ₀₀  /  (τ₀₀ + σ²)</w:t>
            </w:r>
          </w:p>
          <w:p w14:paraId="0D338745" w14:textId="77777777" w:rsidR="003151A7" w:rsidRDefault="003151A7">
            <w:pPr>
              <w:spacing w:after="60" w:line="360" w:lineRule="auto"/>
            </w:pPr>
          </w:p>
          <w:p w14:paraId="0CD92787" w14:textId="77777777" w:rsidR="003151A7" w:rsidRDefault="00000000">
            <w:pPr>
              <w:spacing w:after="60" w:line="360" w:lineRule="auto"/>
            </w:pPr>
            <w:r>
              <w:rPr>
                <w:color w:val="64748B"/>
                <w:sz w:val="17"/>
                <w:szCs w:val="17"/>
              </w:rPr>
              <w:t>Where:  Score_ij = mean Regents score for school i in community district j   ·   γ₀₀ = grand mean across all schools   ·   U₀j = community district random effect (between-district deviation)   ·   r_ij = school-level residual (within-district deviation)</w:t>
            </w:r>
          </w:p>
        </w:tc>
      </w:tr>
    </w:tbl>
    <w:p w14:paraId="5CE65BC5"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151A7" w14:paraId="65A33452" w14:textId="77777777">
        <w:tblPrEx>
          <w:tblCellMar>
            <w:top w:w="0" w:type="dxa"/>
            <w:bottom w:w="0" w:type="dxa"/>
          </w:tblCellMar>
        </w:tblPrEx>
        <w:tc>
          <w:tcPr>
            <w:tcW w:w="200" w:type="dxa"/>
            <w:tcBorders>
              <w:top w:val="none" w:sz="0" w:space="0" w:color="FFFFFF"/>
              <w:left w:val="none" w:sz="0" w:space="0" w:color="FFFFFF"/>
              <w:bottom w:val="none" w:sz="0" w:space="0" w:color="FFFFFF"/>
              <w:right w:val="single" w:sz="20" w:space="0" w:color="1E6B3C"/>
            </w:tcBorders>
            <w:shd w:val="clear" w:color="auto" w:fill="E6F4EA"/>
          </w:tcPr>
          <w:p w14:paraId="0C5B6FFC" w14:textId="77777777" w:rsidR="003151A7" w:rsidRDefault="003151A7"/>
        </w:tc>
        <w:tc>
          <w:tcPr>
            <w:tcW w:w="9160" w:type="dxa"/>
            <w:tcBorders>
              <w:top w:val="none" w:sz="0" w:space="0" w:color="FFFFFF"/>
              <w:left w:val="none" w:sz="0" w:space="0" w:color="FFFFFF"/>
              <w:bottom w:val="none" w:sz="0" w:space="0" w:color="FFFFFF"/>
              <w:right w:val="none" w:sz="0" w:space="0" w:color="FFFFFF"/>
            </w:tcBorders>
            <w:shd w:val="clear" w:color="auto" w:fill="E6F4EA"/>
            <w:tcMar>
              <w:top w:w="140" w:type="dxa"/>
              <w:left w:w="220" w:type="dxa"/>
              <w:bottom w:w="140" w:type="dxa"/>
              <w:right w:w="220" w:type="dxa"/>
            </w:tcMar>
          </w:tcPr>
          <w:p w14:paraId="2AE3D1BE" w14:textId="77777777" w:rsidR="003151A7" w:rsidRDefault="00000000">
            <w:pPr>
              <w:spacing w:after="60"/>
            </w:pPr>
            <w:r>
              <w:rPr>
                <w:b/>
                <w:bCs/>
                <w:color w:val="1E6B3C"/>
                <w:sz w:val="20"/>
                <w:szCs w:val="20"/>
              </w:rPr>
              <w:t>ICC results confirm HLM is warranted</w:t>
            </w:r>
          </w:p>
          <w:p w14:paraId="00F22C89" w14:textId="75F4B749" w:rsidR="003151A7" w:rsidRDefault="00000000">
            <w:pPr>
              <w:spacing w:line="380" w:lineRule="auto"/>
            </w:pPr>
            <w:r>
              <w:rPr>
                <w:color w:val="1A1A2E"/>
                <w:sz w:val="20"/>
                <w:szCs w:val="20"/>
              </w:rPr>
              <w:t>Algebra I: ICC = 11.1% - 11% of total score variation lies between community districts ELA: ICC = 21.4% - 21% of total score variation lies between community districts Living Environment: ICC = 21.2% - 21% of total score variation lies between community districts  All three exceed the 10% threshold recommended by Snijders &amp; Bosker (1999). Community district membership explains a meaningful share of between-school performance variation before any school or policy variables are added - justifying the two-level HLM approach.</w:t>
            </w:r>
          </w:p>
        </w:tc>
      </w:tr>
    </w:tbl>
    <w:p w14:paraId="411B229B" w14:textId="77777777" w:rsidR="003151A7" w:rsidRDefault="003151A7">
      <w:pPr>
        <w:spacing w:after="120"/>
      </w:pPr>
    </w:p>
    <w:p w14:paraId="490B5A11" w14:textId="08640B77" w:rsidR="003151A7" w:rsidRDefault="00000000">
      <w:pPr>
        <w:pStyle w:val="Heading2"/>
      </w:pPr>
      <w:r>
        <w:t>3.2  Model 2 - Level 1 full model (school-level predictors)</w:t>
      </w:r>
    </w:p>
    <w:p w14:paraId="538B1C23" w14:textId="6A957EEA" w:rsidR="003151A7" w:rsidRDefault="00000000">
      <w:pPr>
        <w:spacing w:after="180" w:line="400" w:lineRule="auto"/>
      </w:pPr>
      <w:r>
        <w:rPr>
          <w:color w:val="1A1A2E"/>
          <w:sz w:val="21"/>
          <w:szCs w:val="21"/>
        </w:rPr>
        <w:t>School-level compositional and organizational predictors are added. The reduction in between-district variance from Model 1 to Model 2 - expressed as a proportion of null model variance - is the Level 1 pseudo-R²: how much of the between-neighborhood performance difference is attributable to school-level composition and organization.</w:t>
      </w:r>
    </w:p>
    <w:p w14:paraId="1AC33C04"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1A7" w14:paraId="66219DE5" w14:textId="77777777">
        <w:tblPrEx>
          <w:tblCellMar>
            <w:top w:w="0" w:type="dxa"/>
            <w:bottom w:w="0" w:type="dxa"/>
          </w:tblCellMar>
        </w:tblPrEx>
        <w:tc>
          <w:tcPr>
            <w:tcW w:w="9360" w:type="dxa"/>
            <w:tcBorders>
              <w:top w:val="single" w:sz="1" w:space="0" w:color="D1D9E8"/>
              <w:left w:val="single" w:sz="1" w:space="0" w:color="D1D9E8"/>
              <w:bottom w:val="single" w:sz="1" w:space="0" w:color="D1D9E8"/>
              <w:right w:val="single" w:sz="1" w:space="0" w:color="D1D9E8"/>
            </w:tcBorders>
            <w:shd w:val="clear" w:color="auto" w:fill="F8FBFF"/>
            <w:tcMar>
              <w:top w:w="140" w:type="dxa"/>
              <w:left w:w="240" w:type="dxa"/>
              <w:bottom w:w="140" w:type="dxa"/>
              <w:right w:w="240" w:type="dxa"/>
            </w:tcMar>
          </w:tcPr>
          <w:p w14:paraId="4EE21C00" w14:textId="77777777" w:rsidR="003151A7" w:rsidRDefault="00000000">
            <w:pPr>
              <w:spacing w:after="60"/>
            </w:pPr>
            <w:r>
              <w:rPr>
                <w:b/>
                <w:bCs/>
                <w:color w:val="1A56C4"/>
                <w:sz w:val="18"/>
                <w:szCs w:val="18"/>
              </w:rPr>
              <w:t>Level 1 model equation</w:t>
            </w:r>
          </w:p>
          <w:p w14:paraId="53590ED4" w14:textId="77777777" w:rsidR="003151A7" w:rsidRDefault="00000000">
            <w:pPr>
              <w:spacing w:after="60" w:line="360" w:lineRule="auto"/>
            </w:pPr>
            <w:r>
              <w:rPr>
                <w:b/>
                <w:bCs/>
                <w:i/>
                <w:iCs/>
                <w:color w:val="0D2B5E"/>
                <w:sz w:val="20"/>
                <w:szCs w:val="20"/>
              </w:rPr>
              <w:t>Score_ij  =  β₀j  +  β₁(Black%_ij)  +  β₂(Hispanic%_ij)  +  β₃(Asian%_ij)</w:t>
            </w:r>
          </w:p>
          <w:p w14:paraId="1A9ACB43" w14:textId="77777777" w:rsidR="003151A7" w:rsidRDefault="00000000">
            <w:pPr>
              <w:spacing w:after="60" w:line="360" w:lineRule="auto"/>
            </w:pPr>
            <w:r>
              <w:rPr>
                <w:b/>
                <w:bCs/>
                <w:i/>
                <w:iCs/>
                <w:color w:val="0D2B5E"/>
                <w:sz w:val="20"/>
                <w:szCs w:val="20"/>
              </w:rPr>
              <w:t xml:space="preserve">    +  β₄(ELL%_ij)  +  β₅(EconDisadv%_ij)  +  β₆(ClassSize_ij)</w:t>
            </w:r>
          </w:p>
          <w:p w14:paraId="3F748090" w14:textId="77777777" w:rsidR="003151A7" w:rsidRDefault="00000000">
            <w:pPr>
              <w:spacing w:after="80" w:line="360" w:lineRule="auto"/>
            </w:pPr>
            <w:r>
              <w:rPr>
                <w:b/>
                <w:bCs/>
                <w:i/>
                <w:iCs/>
                <w:color w:val="0D2B5E"/>
                <w:sz w:val="20"/>
                <w:szCs w:val="20"/>
              </w:rPr>
              <w:t xml:space="preserve">    +  β₇(CTE_ij)  +  β₈(Transfer_ij)  +  r_ij</w:t>
            </w:r>
          </w:p>
          <w:p w14:paraId="7374E921" w14:textId="77777777" w:rsidR="003151A7" w:rsidRDefault="00000000">
            <w:pPr>
              <w:spacing w:after="80" w:line="360" w:lineRule="auto"/>
            </w:pPr>
            <w:r>
              <w:rPr>
                <w:b/>
                <w:bCs/>
                <w:i/>
                <w:iCs/>
                <w:color w:val="0D2B5E"/>
                <w:sz w:val="20"/>
                <w:szCs w:val="20"/>
              </w:rPr>
              <w:t>β₀j  =  γ₀₀  +  U₀j</w:t>
            </w:r>
          </w:p>
          <w:p w14:paraId="67208881" w14:textId="77777777" w:rsidR="003151A7" w:rsidRDefault="00000000">
            <w:pPr>
              <w:spacing w:after="60" w:line="360" w:lineRule="auto"/>
            </w:pPr>
            <w:r>
              <w:rPr>
                <w:color w:val="64748B"/>
                <w:sz w:val="18"/>
                <w:szCs w:val="18"/>
              </w:rPr>
              <w:t>All continuous predictors (β₁–β₆) are standardized to z-scores before entry, enabling direct comparison of effect magnitudes. Binary predictors (β₇, β₈) are entered as 0/1 indicators.</w:t>
            </w:r>
          </w:p>
        </w:tc>
      </w:tr>
    </w:tbl>
    <w:p w14:paraId="32B33CA6" w14:textId="77777777" w:rsidR="003151A7" w:rsidRDefault="003151A7">
      <w:pPr>
        <w:spacing w:after="120"/>
      </w:pPr>
    </w:p>
    <w:p w14:paraId="212A79B5" w14:textId="75A3AD28" w:rsidR="003151A7" w:rsidRDefault="00000000">
      <w:pPr>
        <w:pStyle w:val="Heading2"/>
      </w:pPr>
      <w:r>
        <w:t>3.3  Model 3 - Level 1 + NEQ (full two-level model)</w:t>
      </w:r>
    </w:p>
    <w:p w14:paraId="758BE094" w14:textId="77777777" w:rsidR="003151A7" w:rsidRDefault="00000000">
      <w:pPr>
        <w:spacing w:after="180" w:line="400" w:lineRule="auto"/>
      </w:pPr>
      <w:r>
        <w:rPr>
          <w:color w:val="1A1A2E"/>
          <w:sz w:val="21"/>
          <w:szCs w:val="21"/>
        </w:rPr>
        <w:t xml:space="preserve">The NEQ policy context index is added as a Level 2 predictor of the community district intercept β₀j. This tests the central research question: after accounting for all measurable school-level composition and organization, does the policy context of the surrounding community district independently predict school baseline performance? The coefficient </w:t>
      </w:r>
      <w:r>
        <w:rPr>
          <w:i/>
          <w:iCs/>
          <w:color w:val="1A1A2E"/>
          <w:sz w:val="21"/>
          <w:szCs w:val="21"/>
        </w:rPr>
        <w:t>γ₀₁</w:t>
      </w:r>
      <w:r>
        <w:rPr>
          <w:color w:val="1A1A2E"/>
          <w:sz w:val="21"/>
          <w:szCs w:val="21"/>
        </w:rPr>
        <w:t xml:space="preserve"> is the answer.</w:t>
      </w:r>
    </w:p>
    <w:p w14:paraId="12338714"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1A7" w14:paraId="4D2564EA" w14:textId="77777777">
        <w:tblPrEx>
          <w:tblCellMar>
            <w:top w:w="0" w:type="dxa"/>
            <w:bottom w:w="0" w:type="dxa"/>
          </w:tblCellMar>
        </w:tblPrEx>
        <w:tc>
          <w:tcPr>
            <w:tcW w:w="9360" w:type="dxa"/>
            <w:tcBorders>
              <w:top w:val="single" w:sz="1" w:space="0" w:color="D1D9E8"/>
              <w:left w:val="single" w:sz="1" w:space="0" w:color="D1D9E8"/>
              <w:bottom w:val="single" w:sz="1" w:space="0" w:color="D1D9E8"/>
              <w:right w:val="single" w:sz="1" w:space="0" w:color="D1D9E8"/>
            </w:tcBorders>
            <w:shd w:val="clear" w:color="auto" w:fill="F8FBFF"/>
            <w:tcMar>
              <w:top w:w="140" w:type="dxa"/>
              <w:left w:w="240" w:type="dxa"/>
              <w:bottom w:w="140" w:type="dxa"/>
              <w:right w:w="240" w:type="dxa"/>
            </w:tcMar>
          </w:tcPr>
          <w:p w14:paraId="5DD1C0BD" w14:textId="77777777" w:rsidR="003151A7" w:rsidRDefault="00000000">
            <w:pPr>
              <w:spacing w:after="60"/>
            </w:pPr>
            <w:r>
              <w:rPr>
                <w:b/>
                <w:bCs/>
                <w:color w:val="1A56C4"/>
                <w:sz w:val="18"/>
                <w:szCs w:val="18"/>
              </w:rPr>
              <w:t>Full two-level model</w:t>
            </w:r>
          </w:p>
          <w:p w14:paraId="52DBEE85" w14:textId="77777777" w:rsidR="003151A7" w:rsidRDefault="00000000">
            <w:pPr>
              <w:spacing w:after="60" w:line="360" w:lineRule="auto"/>
            </w:pPr>
            <w:r>
              <w:rPr>
                <w:b/>
                <w:bCs/>
                <w:i/>
                <w:iCs/>
                <w:color w:val="0D2B5E"/>
                <w:sz w:val="20"/>
                <w:szCs w:val="20"/>
              </w:rPr>
              <w:t>Level 1:   Score_ij  =  β₀j  +  [school predictors]  +  r_ij</w:t>
            </w:r>
          </w:p>
          <w:p w14:paraId="5A5A58AE" w14:textId="77777777" w:rsidR="003151A7" w:rsidRDefault="00000000">
            <w:pPr>
              <w:spacing w:after="80" w:line="360" w:lineRule="auto"/>
            </w:pPr>
            <w:r>
              <w:rPr>
                <w:b/>
                <w:bCs/>
                <w:i/>
                <w:iCs/>
                <w:color w:val="0D2B5E"/>
                <w:sz w:val="20"/>
                <w:szCs w:val="20"/>
              </w:rPr>
              <w:t>Level 2:   β₀j  =  γ₀₀  +  γ₀₁(NEQ_j)  +  U₀j</w:t>
            </w:r>
          </w:p>
          <w:p w14:paraId="5708E86C" w14:textId="77777777" w:rsidR="003151A7" w:rsidRDefault="00000000">
            <w:pPr>
              <w:spacing w:after="80" w:line="360" w:lineRule="auto"/>
            </w:pPr>
            <w:r>
              <w:rPr>
                <w:b/>
                <w:bCs/>
                <w:i/>
                <w:iCs/>
                <w:color w:val="0D2B5E"/>
                <w:sz w:val="20"/>
                <w:szCs w:val="20"/>
              </w:rPr>
              <w:t>Combined:  Score_ij  =  γ₀₀  +  γ₀₁(NEQ_j)  +  [school predictors]  +  U₀j  +  r_ij</w:t>
            </w:r>
          </w:p>
          <w:p w14:paraId="0BC94F94" w14:textId="77777777" w:rsidR="003151A7" w:rsidRDefault="00000000">
            <w:pPr>
              <w:spacing w:after="60" w:line="360" w:lineRule="auto"/>
            </w:pPr>
            <w:r>
              <w:rPr>
                <w:i/>
                <w:iCs/>
                <w:color w:val="0D2B5E"/>
                <w:sz w:val="19"/>
                <w:szCs w:val="19"/>
              </w:rPr>
              <w:t>γ₀₁ = the change in community district baseline score per 1 standard deviation increase in NEQ, after all Level 1 school-level controls are held constant. This is the policy context effect.</w:t>
            </w:r>
          </w:p>
          <w:p w14:paraId="44FE9A29" w14:textId="77777777" w:rsidR="003151A7" w:rsidRDefault="003151A7">
            <w:pPr>
              <w:spacing w:after="60" w:line="360" w:lineRule="auto"/>
            </w:pPr>
          </w:p>
          <w:p w14:paraId="766CF5FA" w14:textId="77777777" w:rsidR="003151A7" w:rsidRDefault="00000000">
            <w:pPr>
              <w:spacing w:after="60" w:line="360" w:lineRule="auto"/>
            </w:pPr>
            <w:r>
              <w:rPr>
                <w:color w:val="64748B"/>
                <w:sz w:val="17"/>
                <w:szCs w:val="17"/>
              </w:rPr>
              <w:t>Estimation: Restricted Maximum Likelihood (REML). Software: Python statsmodels.formula.api.mixedlm() with Powell optimizer. 43 community districts (Level 2 units). Exceeds the 30-group minimum recommended by Snijders &amp; Bosker (1999).</w:t>
            </w:r>
          </w:p>
        </w:tc>
      </w:tr>
    </w:tbl>
    <w:p w14:paraId="2E9D50D5" w14:textId="77777777" w:rsidR="003151A7" w:rsidRDefault="003151A7">
      <w:pPr>
        <w:spacing w:after="160"/>
      </w:pPr>
    </w:p>
    <w:p w14:paraId="2AC80333" w14:textId="77777777" w:rsidR="00F52256" w:rsidRDefault="00F52256">
      <w:pPr>
        <w:pStyle w:val="Heading1"/>
      </w:pPr>
    </w:p>
    <w:p w14:paraId="7890BF31" w14:textId="77777777" w:rsidR="00F52256" w:rsidRDefault="00F52256">
      <w:pPr>
        <w:pStyle w:val="Heading1"/>
      </w:pPr>
    </w:p>
    <w:p w14:paraId="7BB4635B" w14:textId="77777777" w:rsidR="00F52256" w:rsidRDefault="00F52256">
      <w:pPr>
        <w:pStyle w:val="Heading1"/>
      </w:pPr>
    </w:p>
    <w:p w14:paraId="6432BD77" w14:textId="25BE300C" w:rsidR="003151A7" w:rsidRDefault="00000000">
      <w:pPr>
        <w:pStyle w:val="Heading1"/>
      </w:pPr>
      <w:r>
        <w:lastRenderedPageBreak/>
        <w:t>4.  Results - 2023 Primary Analysis</w:t>
      </w:r>
    </w:p>
    <w:p w14:paraId="099B6004" w14:textId="77777777" w:rsidR="003151A7" w:rsidRDefault="003151A7">
      <w:pPr>
        <w:pBdr>
          <w:bottom w:val="single" w:sz="6" w:space="1" w:color="1A56C4"/>
        </w:pBdr>
        <w:spacing w:before="60" w:after="60"/>
      </w:pPr>
    </w:p>
    <w:p w14:paraId="28BF2E81" w14:textId="77777777" w:rsidR="003151A7" w:rsidRDefault="003151A7">
      <w:pPr>
        <w:spacing w:after="80"/>
      </w:pPr>
    </w:p>
    <w:p w14:paraId="4967D56B" w14:textId="77777777" w:rsidR="003151A7" w:rsidRDefault="00000000">
      <w:pPr>
        <w:pStyle w:val="Heading2"/>
      </w:pPr>
      <w:r>
        <w:t>4.1  Variance decomposition</w:t>
      </w:r>
    </w:p>
    <w:p w14:paraId="2F733972" w14:textId="77777777" w:rsidR="003151A7" w:rsidRDefault="00000000">
      <w:pPr>
        <w:spacing w:after="180" w:line="400" w:lineRule="auto"/>
      </w:pPr>
      <w:r>
        <w:rPr>
          <w:color w:val="1A1A2E"/>
          <w:sz w:val="21"/>
          <w:szCs w:val="21"/>
        </w:rPr>
        <w:t>Table 1 tracks between-neighborhood variance across the three model steps. Each column tells the story for one exam: how much between-neighborhood performance difference exists before any controls, how much school-level composition and organization explains, and how much the NEQ policy context index adds beyond that.</w:t>
      </w:r>
    </w:p>
    <w:p w14:paraId="726FA081" w14:textId="77777777" w:rsidR="003151A7" w:rsidRDefault="003151A7">
      <w:pPr>
        <w:spacing w:after="80"/>
      </w:pPr>
    </w:p>
    <w:p w14:paraId="3F6D69C0" w14:textId="77777777" w:rsidR="003151A7" w:rsidRDefault="00000000">
      <w:pPr>
        <w:spacing w:after="100" w:line="400" w:lineRule="auto"/>
      </w:pPr>
      <w:r>
        <w:rPr>
          <w:b/>
          <w:bCs/>
          <w:color w:val="1A1A2E"/>
          <w:sz w:val="20"/>
          <w:szCs w:val="20"/>
        </w:rPr>
        <w:t xml:space="preserve">Table 1.  </w:t>
      </w:r>
      <w:r>
        <w:rPr>
          <w:i/>
          <w:iCs/>
          <w:color w:val="1A1A2E"/>
          <w:sz w:val="20"/>
          <w:szCs w:val="20"/>
        </w:rPr>
        <w:t>Variance decomposition — all three models, all three exams (2023 primary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1"/>
        <w:gridCol w:w="1529"/>
        <w:gridCol w:w="1516"/>
        <w:gridCol w:w="1516"/>
        <w:gridCol w:w="2138"/>
      </w:tblGrid>
      <w:tr w:rsidR="003151A7" w14:paraId="1138EF96"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637ED260" w14:textId="77777777" w:rsidR="003151A7" w:rsidRDefault="00000000">
            <w:pPr>
              <w:spacing w:line="340" w:lineRule="auto"/>
            </w:pPr>
            <w:r>
              <w:rPr>
                <w:b/>
                <w:bCs/>
                <w:color w:val="FFFFFF"/>
                <w:sz w:val="18"/>
                <w:szCs w:val="18"/>
              </w:rPr>
              <w:t>Metric</w:t>
            </w:r>
          </w:p>
        </w:tc>
        <w:tc>
          <w:tcPr>
            <w:tcW w:w="16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13598EBC" w14:textId="77777777" w:rsidR="003151A7" w:rsidRDefault="00000000">
            <w:pPr>
              <w:spacing w:line="340" w:lineRule="auto"/>
              <w:jc w:val="center"/>
            </w:pPr>
            <w:r>
              <w:rPr>
                <w:b/>
                <w:bCs/>
                <w:color w:val="FFFFFF"/>
                <w:sz w:val="18"/>
                <w:szCs w:val="18"/>
              </w:rPr>
              <w:t>Algebra I (CC)</w:t>
            </w:r>
          </w:p>
        </w:tc>
        <w:tc>
          <w:tcPr>
            <w:tcW w:w="16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6DC57E50" w14:textId="77777777" w:rsidR="003151A7" w:rsidRDefault="00000000">
            <w:pPr>
              <w:spacing w:line="340" w:lineRule="auto"/>
              <w:jc w:val="center"/>
            </w:pPr>
            <w:r>
              <w:rPr>
                <w:b/>
                <w:bCs/>
                <w:color w:val="FFFFFF"/>
                <w:sz w:val="18"/>
                <w:szCs w:val="18"/>
              </w:rPr>
              <w:t>ELA (CC)</w:t>
            </w:r>
          </w:p>
        </w:tc>
        <w:tc>
          <w:tcPr>
            <w:tcW w:w="16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4C8BAFDC" w14:textId="77777777" w:rsidR="003151A7" w:rsidRDefault="00000000">
            <w:pPr>
              <w:spacing w:line="340" w:lineRule="auto"/>
              <w:jc w:val="center"/>
            </w:pPr>
            <w:r>
              <w:rPr>
                <w:b/>
                <w:bCs/>
                <w:color w:val="FFFFFF"/>
                <w:sz w:val="18"/>
                <w:szCs w:val="18"/>
              </w:rPr>
              <w:t>Living Env.</w:t>
            </w:r>
          </w:p>
        </w:tc>
        <w:tc>
          <w:tcPr>
            <w:tcW w:w="232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25E65ADF" w14:textId="77777777" w:rsidR="003151A7" w:rsidRDefault="00000000">
            <w:pPr>
              <w:spacing w:line="340" w:lineRule="auto"/>
              <w:jc w:val="center"/>
            </w:pPr>
            <w:r>
              <w:rPr>
                <w:b/>
                <w:bCs/>
                <w:color w:val="FFFFFF"/>
                <w:sz w:val="18"/>
                <w:szCs w:val="18"/>
              </w:rPr>
              <w:t>Notes</w:t>
            </w:r>
          </w:p>
        </w:tc>
      </w:tr>
      <w:tr w:rsidR="003151A7" w14:paraId="7759748D"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04C0769" w14:textId="77777777" w:rsidR="003151A7" w:rsidRDefault="00000000">
            <w:pPr>
              <w:spacing w:line="340" w:lineRule="auto"/>
            </w:pPr>
            <w:r>
              <w:rPr>
                <w:color w:val="1A1A2E"/>
                <w:sz w:val="18"/>
                <w:szCs w:val="18"/>
              </w:rPr>
              <w:t>N schools (2023)</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0FC530A6" w14:textId="77777777" w:rsidR="003151A7" w:rsidRDefault="00000000">
            <w:pPr>
              <w:spacing w:line="340" w:lineRule="auto"/>
              <w:jc w:val="center"/>
            </w:pPr>
            <w:r>
              <w:rPr>
                <w:color w:val="1A1A2E"/>
                <w:sz w:val="18"/>
                <w:szCs w:val="18"/>
              </w:rPr>
              <w:t>371</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1AE7FA31" w14:textId="77777777" w:rsidR="003151A7" w:rsidRDefault="00000000">
            <w:pPr>
              <w:spacing w:line="340" w:lineRule="auto"/>
              <w:jc w:val="center"/>
            </w:pPr>
            <w:r>
              <w:rPr>
                <w:color w:val="1A1A2E"/>
                <w:sz w:val="18"/>
                <w:szCs w:val="18"/>
              </w:rPr>
              <w:t>400</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075F1E2" w14:textId="77777777" w:rsidR="003151A7" w:rsidRDefault="00000000">
            <w:pPr>
              <w:spacing w:line="340" w:lineRule="auto"/>
              <w:jc w:val="center"/>
            </w:pPr>
            <w:r>
              <w:rPr>
                <w:color w:val="1A1A2E"/>
                <w:sz w:val="18"/>
                <w:szCs w:val="18"/>
              </w:rPr>
              <w:t>359</w:t>
            </w:r>
          </w:p>
        </w:tc>
        <w:tc>
          <w:tcPr>
            <w:tcW w:w="232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7CD3AE6" w14:textId="77777777" w:rsidR="003151A7" w:rsidRDefault="00000000">
            <w:pPr>
              <w:spacing w:line="340" w:lineRule="auto"/>
              <w:jc w:val="center"/>
            </w:pPr>
            <w:r>
              <w:rPr>
                <w:color w:val="1A1A2E"/>
                <w:sz w:val="18"/>
                <w:szCs w:val="18"/>
              </w:rPr>
              <w:t>After ClassSize filter</w:t>
            </w:r>
          </w:p>
        </w:tc>
      </w:tr>
      <w:tr w:rsidR="003151A7" w14:paraId="33F987D9"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DD92DC0" w14:textId="77777777" w:rsidR="003151A7" w:rsidRDefault="00000000">
            <w:pPr>
              <w:spacing w:line="340" w:lineRule="auto"/>
            </w:pPr>
            <w:r>
              <w:rPr>
                <w:color w:val="1A1A2E"/>
                <w:sz w:val="18"/>
                <w:szCs w:val="18"/>
              </w:rPr>
              <w:t>Grand mean score</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4FBCE136" w14:textId="77777777" w:rsidR="003151A7" w:rsidRDefault="00000000">
            <w:pPr>
              <w:spacing w:line="340" w:lineRule="auto"/>
              <w:jc w:val="center"/>
            </w:pPr>
            <w:r>
              <w:rPr>
                <w:color w:val="1A1A2E"/>
                <w:sz w:val="18"/>
                <w:szCs w:val="18"/>
              </w:rPr>
              <w:t>62.26</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C18B2E1" w14:textId="77777777" w:rsidR="003151A7" w:rsidRDefault="00000000">
            <w:pPr>
              <w:spacing w:line="340" w:lineRule="auto"/>
              <w:jc w:val="center"/>
            </w:pPr>
            <w:r>
              <w:rPr>
                <w:color w:val="1A1A2E"/>
                <w:sz w:val="18"/>
                <w:szCs w:val="18"/>
              </w:rPr>
              <w:t>69.39</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A93288B" w14:textId="77777777" w:rsidR="003151A7" w:rsidRDefault="00000000">
            <w:pPr>
              <w:spacing w:line="340" w:lineRule="auto"/>
              <w:jc w:val="center"/>
            </w:pPr>
            <w:r>
              <w:rPr>
                <w:color w:val="1A1A2E"/>
                <w:sz w:val="18"/>
                <w:szCs w:val="18"/>
              </w:rPr>
              <w:t>63.11</w:t>
            </w:r>
          </w:p>
        </w:tc>
        <w:tc>
          <w:tcPr>
            <w:tcW w:w="23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A874F48" w14:textId="77777777" w:rsidR="003151A7" w:rsidRDefault="00000000">
            <w:pPr>
              <w:spacing w:line="340" w:lineRule="auto"/>
              <w:jc w:val="center"/>
            </w:pPr>
            <w:r>
              <w:rPr>
                <w:color w:val="1A1A2E"/>
                <w:sz w:val="18"/>
                <w:szCs w:val="18"/>
              </w:rPr>
              <w:t>Scale 0–100; passing = 65</w:t>
            </w:r>
          </w:p>
        </w:tc>
      </w:tr>
      <w:tr w:rsidR="003151A7" w14:paraId="6BDCC8A6"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06DD7211" w14:textId="77777777" w:rsidR="003151A7" w:rsidRDefault="00000000">
            <w:pPr>
              <w:spacing w:line="340" w:lineRule="auto"/>
            </w:pPr>
            <w:r>
              <w:rPr>
                <w:color w:val="1A1A2E"/>
                <w:sz w:val="18"/>
                <w:szCs w:val="18"/>
              </w:rPr>
              <w:t>ICC — null model</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786DAEAB" w14:textId="77777777" w:rsidR="003151A7" w:rsidRDefault="00000000">
            <w:pPr>
              <w:spacing w:line="340" w:lineRule="auto"/>
              <w:jc w:val="center"/>
            </w:pPr>
            <w:r>
              <w:rPr>
                <w:color w:val="1A1A2E"/>
                <w:sz w:val="18"/>
                <w:szCs w:val="18"/>
              </w:rPr>
              <w:t>11.1%</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22D2D4AD" w14:textId="77777777" w:rsidR="003151A7" w:rsidRDefault="00000000">
            <w:pPr>
              <w:spacing w:line="340" w:lineRule="auto"/>
              <w:jc w:val="center"/>
            </w:pPr>
            <w:r>
              <w:rPr>
                <w:color w:val="1A1A2E"/>
                <w:sz w:val="18"/>
                <w:szCs w:val="18"/>
              </w:rPr>
              <w:t>21.4%</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0D35C2BF" w14:textId="77777777" w:rsidR="003151A7" w:rsidRDefault="00000000">
            <w:pPr>
              <w:spacing w:line="340" w:lineRule="auto"/>
              <w:jc w:val="center"/>
            </w:pPr>
            <w:r>
              <w:rPr>
                <w:color w:val="1A1A2E"/>
                <w:sz w:val="18"/>
                <w:szCs w:val="18"/>
              </w:rPr>
              <w:t>21.2%</w:t>
            </w:r>
          </w:p>
        </w:tc>
        <w:tc>
          <w:tcPr>
            <w:tcW w:w="232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27CE151" w14:textId="2A3869EF" w:rsidR="003151A7" w:rsidRDefault="00000000">
            <w:pPr>
              <w:spacing w:line="340" w:lineRule="auto"/>
              <w:jc w:val="center"/>
            </w:pPr>
            <w:r>
              <w:rPr>
                <w:color w:val="1A1A2E"/>
                <w:sz w:val="18"/>
                <w:szCs w:val="18"/>
              </w:rPr>
              <w:t xml:space="preserve">All &gt;10% - HLM justified </w:t>
            </w:r>
          </w:p>
        </w:tc>
      </w:tr>
      <w:tr w:rsidR="003151A7" w14:paraId="3A6B1910"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00A7B8C" w14:textId="77777777" w:rsidR="003151A7" w:rsidRDefault="00000000">
            <w:pPr>
              <w:spacing w:line="340" w:lineRule="auto"/>
            </w:pPr>
            <w:r>
              <w:rPr>
                <w:color w:val="1A1A2E"/>
                <w:sz w:val="18"/>
                <w:szCs w:val="18"/>
              </w:rPr>
              <w:t>Var(U₀j) — null model</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D326B6B" w14:textId="77777777" w:rsidR="003151A7" w:rsidRDefault="00000000">
            <w:pPr>
              <w:spacing w:line="340" w:lineRule="auto"/>
              <w:jc w:val="center"/>
            </w:pPr>
            <w:r>
              <w:rPr>
                <w:color w:val="1A1A2E"/>
                <w:sz w:val="18"/>
                <w:szCs w:val="18"/>
              </w:rPr>
              <w:t>5.755</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24FE59B" w14:textId="77777777" w:rsidR="003151A7" w:rsidRDefault="00000000">
            <w:pPr>
              <w:spacing w:line="340" w:lineRule="auto"/>
              <w:jc w:val="center"/>
            </w:pPr>
            <w:r>
              <w:rPr>
                <w:color w:val="1A1A2E"/>
                <w:sz w:val="18"/>
                <w:szCs w:val="18"/>
              </w:rPr>
              <w:t>20.201</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E2816FF" w14:textId="77777777" w:rsidR="003151A7" w:rsidRDefault="00000000">
            <w:pPr>
              <w:spacing w:line="340" w:lineRule="auto"/>
              <w:jc w:val="center"/>
            </w:pPr>
            <w:r>
              <w:rPr>
                <w:color w:val="1A1A2E"/>
                <w:sz w:val="18"/>
                <w:szCs w:val="18"/>
              </w:rPr>
              <w:t>14.325</w:t>
            </w:r>
          </w:p>
        </w:tc>
        <w:tc>
          <w:tcPr>
            <w:tcW w:w="23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0306E425" w14:textId="77777777" w:rsidR="003151A7" w:rsidRDefault="00000000">
            <w:pPr>
              <w:spacing w:line="340" w:lineRule="auto"/>
              <w:jc w:val="center"/>
            </w:pPr>
            <w:r>
              <w:rPr>
                <w:color w:val="1A1A2E"/>
                <w:sz w:val="18"/>
                <w:szCs w:val="18"/>
              </w:rPr>
              <w:t>Total between-neighborhood variance</w:t>
            </w:r>
          </w:p>
        </w:tc>
      </w:tr>
      <w:tr w:rsidR="003151A7" w14:paraId="5745A424"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9AD4871" w14:textId="77777777" w:rsidR="003151A7" w:rsidRDefault="00000000">
            <w:pPr>
              <w:spacing w:line="340" w:lineRule="auto"/>
            </w:pPr>
            <w:r>
              <w:rPr>
                <w:color w:val="1A1A2E"/>
                <w:sz w:val="18"/>
                <w:szCs w:val="18"/>
              </w:rPr>
              <w:t>Var(U₀j) — after Level 1</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7C0E86C" w14:textId="77777777" w:rsidR="003151A7" w:rsidRDefault="00000000">
            <w:pPr>
              <w:spacing w:line="340" w:lineRule="auto"/>
              <w:jc w:val="center"/>
            </w:pPr>
            <w:r>
              <w:rPr>
                <w:color w:val="1A1A2E"/>
                <w:sz w:val="18"/>
                <w:szCs w:val="18"/>
              </w:rPr>
              <w:t>0.167</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EA15B1D" w14:textId="77777777" w:rsidR="003151A7" w:rsidRDefault="00000000">
            <w:pPr>
              <w:spacing w:line="340" w:lineRule="auto"/>
              <w:jc w:val="center"/>
            </w:pPr>
            <w:r>
              <w:rPr>
                <w:color w:val="1A1A2E"/>
                <w:sz w:val="18"/>
                <w:szCs w:val="18"/>
              </w:rPr>
              <w:t>4.280</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1F31463F" w14:textId="77777777" w:rsidR="003151A7" w:rsidRDefault="00000000">
            <w:pPr>
              <w:spacing w:line="340" w:lineRule="auto"/>
              <w:jc w:val="center"/>
            </w:pPr>
            <w:r>
              <w:rPr>
                <w:color w:val="1A1A2E"/>
                <w:sz w:val="18"/>
                <w:szCs w:val="18"/>
              </w:rPr>
              <w:t>0.688</w:t>
            </w:r>
          </w:p>
        </w:tc>
        <w:tc>
          <w:tcPr>
            <w:tcW w:w="232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060A924" w14:textId="77777777" w:rsidR="003151A7" w:rsidRDefault="00000000">
            <w:pPr>
              <w:spacing w:line="340" w:lineRule="auto"/>
              <w:jc w:val="center"/>
            </w:pPr>
            <w:r>
              <w:rPr>
                <w:color w:val="1A1A2E"/>
                <w:sz w:val="18"/>
                <w:szCs w:val="18"/>
              </w:rPr>
              <w:t>After school-level controls</w:t>
            </w:r>
          </w:p>
        </w:tc>
      </w:tr>
      <w:tr w:rsidR="003151A7" w14:paraId="136AA4B4"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5B6DFA8" w14:textId="77777777" w:rsidR="003151A7" w:rsidRDefault="00000000">
            <w:pPr>
              <w:spacing w:line="340" w:lineRule="auto"/>
            </w:pPr>
            <w:r>
              <w:rPr>
                <w:color w:val="1A1A2E"/>
                <w:sz w:val="18"/>
                <w:szCs w:val="18"/>
              </w:rPr>
              <w:t>Var(U₀j) — after L1 + NEQ</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3AEFD0E" w14:textId="77777777" w:rsidR="003151A7" w:rsidRDefault="00000000">
            <w:pPr>
              <w:spacing w:line="340" w:lineRule="auto"/>
              <w:jc w:val="center"/>
            </w:pPr>
            <w:r>
              <w:rPr>
                <w:color w:val="1A1A2E"/>
                <w:sz w:val="18"/>
                <w:szCs w:val="18"/>
              </w:rPr>
              <w:t>0.259</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B2EF7CD" w14:textId="77777777" w:rsidR="003151A7" w:rsidRDefault="00000000">
            <w:pPr>
              <w:spacing w:line="340" w:lineRule="auto"/>
              <w:jc w:val="center"/>
            </w:pPr>
            <w:r>
              <w:rPr>
                <w:color w:val="1A1A2E"/>
                <w:sz w:val="18"/>
                <w:szCs w:val="18"/>
              </w:rPr>
              <w:t>3.147</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3E534BB" w14:textId="77777777" w:rsidR="003151A7" w:rsidRDefault="00000000">
            <w:pPr>
              <w:spacing w:line="340" w:lineRule="auto"/>
              <w:jc w:val="center"/>
            </w:pPr>
            <w:r>
              <w:rPr>
                <w:color w:val="1A1A2E"/>
                <w:sz w:val="18"/>
                <w:szCs w:val="18"/>
              </w:rPr>
              <w:t>0.460</w:t>
            </w:r>
          </w:p>
        </w:tc>
        <w:tc>
          <w:tcPr>
            <w:tcW w:w="23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B24F227" w14:textId="77777777" w:rsidR="003151A7" w:rsidRDefault="00000000">
            <w:pPr>
              <w:spacing w:line="340" w:lineRule="auto"/>
              <w:jc w:val="center"/>
            </w:pPr>
            <w:r>
              <w:rPr>
                <w:color w:val="1A1A2E"/>
                <w:sz w:val="18"/>
                <w:szCs w:val="18"/>
              </w:rPr>
              <w:t>After policy context variable added</w:t>
            </w:r>
          </w:p>
        </w:tc>
      </w:tr>
      <w:tr w:rsidR="003151A7" w14:paraId="1DBB4690"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7D3D3B65" w14:textId="77777777" w:rsidR="003151A7" w:rsidRDefault="00000000">
            <w:pPr>
              <w:spacing w:line="340" w:lineRule="auto"/>
            </w:pPr>
            <w:r>
              <w:rPr>
                <w:color w:val="1A1A2E"/>
                <w:sz w:val="18"/>
                <w:szCs w:val="18"/>
              </w:rPr>
              <w:t>Level 1 explains (%)</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11C7FC3" w14:textId="77777777" w:rsidR="003151A7" w:rsidRDefault="00000000">
            <w:pPr>
              <w:spacing w:line="340" w:lineRule="auto"/>
              <w:jc w:val="center"/>
            </w:pPr>
            <w:r>
              <w:rPr>
                <w:color w:val="1A1A2E"/>
                <w:sz w:val="18"/>
                <w:szCs w:val="18"/>
              </w:rPr>
              <w:t>97.1%</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2D5E2F3D" w14:textId="77777777" w:rsidR="003151A7" w:rsidRDefault="00000000">
            <w:pPr>
              <w:spacing w:line="340" w:lineRule="auto"/>
              <w:jc w:val="center"/>
            </w:pPr>
            <w:r>
              <w:rPr>
                <w:color w:val="1A1A2E"/>
                <w:sz w:val="18"/>
                <w:szCs w:val="18"/>
              </w:rPr>
              <w:t>78.8%</w:t>
            </w:r>
          </w:p>
        </w:tc>
        <w:tc>
          <w:tcPr>
            <w:tcW w:w="16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1146F102" w14:textId="77777777" w:rsidR="003151A7" w:rsidRDefault="00000000">
            <w:pPr>
              <w:spacing w:line="340" w:lineRule="auto"/>
              <w:jc w:val="center"/>
            </w:pPr>
            <w:r>
              <w:rPr>
                <w:color w:val="1A1A2E"/>
                <w:sz w:val="18"/>
                <w:szCs w:val="18"/>
              </w:rPr>
              <w:t>95.2%</w:t>
            </w:r>
          </w:p>
        </w:tc>
        <w:tc>
          <w:tcPr>
            <w:tcW w:w="232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99895E4" w14:textId="77777777" w:rsidR="003151A7" w:rsidRDefault="00000000">
            <w:pPr>
              <w:spacing w:line="340" w:lineRule="auto"/>
              <w:jc w:val="center"/>
            </w:pPr>
            <w:r>
              <w:rPr>
                <w:color w:val="1A1A2E"/>
                <w:sz w:val="18"/>
                <w:szCs w:val="18"/>
              </w:rPr>
              <w:t>Compositional factors explain this much</w:t>
            </w:r>
          </w:p>
        </w:tc>
      </w:tr>
      <w:tr w:rsidR="003151A7" w14:paraId="082129C1"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48ECA05" w14:textId="77777777" w:rsidR="003151A7" w:rsidRDefault="00000000">
            <w:pPr>
              <w:spacing w:line="340" w:lineRule="auto"/>
            </w:pPr>
            <w:r>
              <w:rPr>
                <w:color w:val="1A1A2E"/>
                <w:sz w:val="18"/>
                <w:szCs w:val="18"/>
              </w:rPr>
              <w:t>Policy context adds beyond L1 (%)</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64E8F522" w14:textId="77777777" w:rsidR="003151A7" w:rsidRDefault="00000000">
            <w:pPr>
              <w:spacing w:line="340" w:lineRule="auto"/>
              <w:jc w:val="center"/>
            </w:pPr>
            <w:r>
              <w:rPr>
                <w:color w:val="1A1A2E"/>
                <w:sz w:val="18"/>
                <w:szCs w:val="18"/>
              </w:rPr>
              <w:t>−1.6%</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581118F4" w14:textId="77777777" w:rsidR="003151A7" w:rsidRDefault="00000000">
            <w:pPr>
              <w:spacing w:line="340" w:lineRule="auto"/>
              <w:jc w:val="center"/>
            </w:pPr>
            <w:r>
              <w:rPr>
                <w:color w:val="1A1A2E"/>
                <w:sz w:val="18"/>
                <w:szCs w:val="18"/>
              </w:rPr>
              <w:t>5.6%</w:t>
            </w:r>
          </w:p>
        </w:tc>
        <w:tc>
          <w:tcPr>
            <w:tcW w:w="16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2F72F4B" w14:textId="77777777" w:rsidR="003151A7" w:rsidRDefault="00000000">
            <w:pPr>
              <w:spacing w:line="340" w:lineRule="auto"/>
              <w:jc w:val="center"/>
            </w:pPr>
            <w:r>
              <w:rPr>
                <w:color w:val="1A1A2E"/>
                <w:sz w:val="18"/>
                <w:szCs w:val="18"/>
              </w:rPr>
              <w:t>1.6%</w:t>
            </w:r>
          </w:p>
        </w:tc>
        <w:tc>
          <w:tcPr>
            <w:tcW w:w="23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FDE243D" w14:textId="77777777" w:rsidR="003151A7" w:rsidRDefault="00000000">
            <w:pPr>
              <w:spacing w:line="340" w:lineRule="auto"/>
              <w:jc w:val="center"/>
            </w:pPr>
            <w:r>
              <w:rPr>
                <w:color w:val="1A1A2E"/>
                <w:sz w:val="18"/>
                <w:szCs w:val="18"/>
              </w:rPr>
              <w:t>NEQ index adds beyond Level 1 controls</w:t>
            </w:r>
          </w:p>
        </w:tc>
      </w:tr>
      <w:tr w:rsidR="003151A7" w14:paraId="1EF85B9E"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7B4B92AC" w14:textId="77777777" w:rsidR="003151A7" w:rsidRDefault="00000000">
            <w:pPr>
              <w:spacing w:line="340" w:lineRule="auto"/>
            </w:pPr>
            <w:r>
              <w:rPr>
                <w:b/>
                <w:bCs/>
                <w:color w:val="1A56C4"/>
                <w:sz w:val="18"/>
                <w:szCs w:val="18"/>
              </w:rPr>
              <w:t>NEQ coefficient  γ₀₁</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1D46CE37" w14:textId="77777777" w:rsidR="003151A7" w:rsidRDefault="00000000">
            <w:pPr>
              <w:spacing w:line="340" w:lineRule="auto"/>
              <w:jc w:val="center"/>
            </w:pPr>
            <w:r>
              <w:rPr>
                <w:color w:val="1A1A2E"/>
                <w:sz w:val="18"/>
                <w:szCs w:val="18"/>
              </w:rPr>
              <w:t>+0.275</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061E607" w14:textId="77777777" w:rsidR="003151A7" w:rsidRDefault="00000000">
            <w:pPr>
              <w:spacing w:line="340" w:lineRule="auto"/>
              <w:jc w:val="center"/>
            </w:pPr>
            <w:r>
              <w:rPr>
                <w:color w:val="1A1A2E"/>
                <w:sz w:val="18"/>
                <w:szCs w:val="18"/>
              </w:rPr>
              <w:t>+1.180</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06C2706A" w14:textId="77777777" w:rsidR="003151A7" w:rsidRDefault="00000000">
            <w:pPr>
              <w:spacing w:line="340" w:lineRule="auto"/>
              <w:jc w:val="center"/>
            </w:pPr>
            <w:r>
              <w:rPr>
                <w:color w:val="1A1A2E"/>
                <w:sz w:val="18"/>
                <w:szCs w:val="18"/>
              </w:rPr>
              <w:t>+0.931</w:t>
            </w:r>
          </w:p>
        </w:tc>
        <w:tc>
          <w:tcPr>
            <w:tcW w:w="23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6C5F4C20" w14:textId="77777777" w:rsidR="003151A7" w:rsidRDefault="00000000">
            <w:pPr>
              <w:spacing w:line="340" w:lineRule="auto"/>
              <w:jc w:val="center"/>
            </w:pPr>
            <w:r>
              <w:rPr>
                <w:color w:val="1A1A2E"/>
                <w:sz w:val="18"/>
                <w:szCs w:val="18"/>
              </w:rPr>
              <w:t>Score pts per 1 SD of NEQ</w:t>
            </w:r>
          </w:p>
        </w:tc>
      </w:tr>
      <w:tr w:rsidR="003151A7" w14:paraId="77A85C88"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38DF76C5" w14:textId="77777777" w:rsidR="003151A7" w:rsidRDefault="00000000">
            <w:pPr>
              <w:spacing w:line="340" w:lineRule="auto"/>
            </w:pPr>
            <w:r>
              <w:rPr>
                <w:b/>
                <w:bCs/>
                <w:color w:val="1A56C4"/>
                <w:sz w:val="18"/>
                <w:szCs w:val="18"/>
              </w:rPr>
              <w:t>Standard error</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6FDC2A25" w14:textId="77777777" w:rsidR="003151A7" w:rsidRDefault="00000000">
            <w:pPr>
              <w:spacing w:line="340" w:lineRule="auto"/>
              <w:jc w:val="center"/>
            </w:pPr>
            <w:r>
              <w:rPr>
                <w:color w:val="1A1A2E"/>
                <w:sz w:val="18"/>
                <w:szCs w:val="18"/>
              </w:rPr>
              <w:t>0.306</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6C49D1B0" w14:textId="77777777" w:rsidR="003151A7" w:rsidRDefault="00000000">
            <w:pPr>
              <w:spacing w:line="340" w:lineRule="auto"/>
              <w:jc w:val="center"/>
            </w:pPr>
            <w:r>
              <w:rPr>
                <w:color w:val="1A1A2E"/>
                <w:sz w:val="18"/>
                <w:szCs w:val="18"/>
              </w:rPr>
              <w:t>0.395</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66FE3DB4" w14:textId="77777777" w:rsidR="003151A7" w:rsidRDefault="00000000">
            <w:pPr>
              <w:spacing w:line="340" w:lineRule="auto"/>
              <w:jc w:val="center"/>
            </w:pPr>
            <w:r>
              <w:rPr>
                <w:color w:val="1A1A2E"/>
                <w:sz w:val="18"/>
                <w:szCs w:val="18"/>
              </w:rPr>
              <w:t>0.325</w:t>
            </w:r>
          </w:p>
        </w:tc>
        <w:tc>
          <w:tcPr>
            <w:tcW w:w="23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2920A77" w14:textId="77777777" w:rsidR="003151A7" w:rsidRDefault="00000000">
            <w:pPr>
              <w:spacing w:line="340" w:lineRule="auto"/>
              <w:jc w:val="center"/>
            </w:pPr>
            <w:r>
              <w:rPr>
                <w:color w:val="1A1A2E"/>
                <w:sz w:val="18"/>
                <w:szCs w:val="18"/>
              </w:rPr>
              <w:t>Precision of estimate</w:t>
            </w:r>
          </w:p>
        </w:tc>
      </w:tr>
      <w:tr w:rsidR="003151A7" w14:paraId="29834202"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10F2BD6D" w14:textId="77777777" w:rsidR="003151A7" w:rsidRDefault="00000000">
            <w:pPr>
              <w:spacing w:line="340" w:lineRule="auto"/>
            </w:pPr>
            <w:r>
              <w:rPr>
                <w:b/>
                <w:bCs/>
                <w:color w:val="1A56C4"/>
                <w:sz w:val="18"/>
                <w:szCs w:val="18"/>
              </w:rPr>
              <w:t>95% confidence interval</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B59C75A" w14:textId="77777777" w:rsidR="003151A7" w:rsidRDefault="00000000">
            <w:pPr>
              <w:spacing w:line="340" w:lineRule="auto"/>
              <w:jc w:val="center"/>
            </w:pPr>
            <w:r>
              <w:rPr>
                <w:color w:val="1A1A2E"/>
                <w:sz w:val="18"/>
                <w:szCs w:val="18"/>
              </w:rPr>
              <w:t>[−0.32, +0.87]</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E41AFD8" w14:textId="77777777" w:rsidR="003151A7" w:rsidRDefault="00000000">
            <w:pPr>
              <w:spacing w:line="340" w:lineRule="auto"/>
              <w:jc w:val="center"/>
            </w:pPr>
            <w:r>
              <w:rPr>
                <w:color w:val="1A1A2E"/>
                <w:sz w:val="18"/>
                <w:szCs w:val="18"/>
              </w:rPr>
              <w:t>[+0.41, +1.95]</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903DDBD" w14:textId="77777777" w:rsidR="003151A7" w:rsidRDefault="00000000">
            <w:pPr>
              <w:spacing w:line="340" w:lineRule="auto"/>
              <w:jc w:val="center"/>
            </w:pPr>
            <w:r>
              <w:rPr>
                <w:color w:val="1A1A2E"/>
                <w:sz w:val="18"/>
                <w:szCs w:val="18"/>
              </w:rPr>
              <w:t>[+0.29, +1.57]</w:t>
            </w:r>
          </w:p>
        </w:tc>
        <w:tc>
          <w:tcPr>
            <w:tcW w:w="23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345E878F" w14:textId="77777777" w:rsidR="003151A7" w:rsidRDefault="00000000">
            <w:pPr>
              <w:spacing w:line="340" w:lineRule="auto"/>
              <w:jc w:val="center"/>
            </w:pPr>
            <w:r>
              <w:rPr>
                <w:color w:val="1A1A2E"/>
                <w:sz w:val="18"/>
                <w:szCs w:val="18"/>
              </w:rPr>
              <w:t>CI excluding zero = significant</w:t>
            </w:r>
          </w:p>
        </w:tc>
      </w:tr>
      <w:tr w:rsidR="003151A7" w14:paraId="35B41B60"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2B87FE06" w14:textId="77777777" w:rsidR="003151A7" w:rsidRDefault="00000000">
            <w:pPr>
              <w:spacing w:line="340" w:lineRule="auto"/>
            </w:pPr>
            <w:r>
              <w:rPr>
                <w:b/>
                <w:bCs/>
                <w:color w:val="1A56C4"/>
                <w:sz w:val="18"/>
                <w:szCs w:val="18"/>
              </w:rPr>
              <w:t>p-value</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1B2907F8" w14:textId="77777777" w:rsidR="003151A7" w:rsidRDefault="00000000">
            <w:pPr>
              <w:spacing w:line="340" w:lineRule="auto"/>
              <w:jc w:val="center"/>
            </w:pPr>
            <w:r>
              <w:rPr>
                <w:color w:val="1A1A2E"/>
                <w:sz w:val="18"/>
                <w:szCs w:val="18"/>
              </w:rPr>
              <w:t>.368</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10237C21" w14:textId="77777777" w:rsidR="003151A7" w:rsidRDefault="00000000">
            <w:pPr>
              <w:spacing w:line="340" w:lineRule="auto"/>
              <w:jc w:val="center"/>
            </w:pPr>
            <w:r>
              <w:rPr>
                <w:color w:val="1A1A2E"/>
                <w:sz w:val="18"/>
                <w:szCs w:val="18"/>
              </w:rPr>
              <w:t>.003</w:t>
            </w:r>
          </w:p>
        </w:tc>
        <w:tc>
          <w:tcPr>
            <w:tcW w:w="16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3C5DB8F5" w14:textId="77777777" w:rsidR="003151A7" w:rsidRDefault="00000000">
            <w:pPr>
              <w:spacing w:line="340" w:lineRule="auto"/>
              <w:jc w:val="center"/>
            </w:pPr>
            <w:r>
              <w:rPr>
                <w:color w:val="1A1A2E"/>
                <w:sz w:val="18"/>
                <w:szCs w:val="18"/>
              </w:rPr>
              <w:t>.004</w:t>
            </w:r>
          </w:p>
        </w:tc>
        <w:tc>
          <w:tcPr>
            <w:tcW w:w="23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728D66F8" w14:textId="77777777" w:rsidR="003151A7" w:rsidRDefault="00000000">
            <w:pPr>
              <w:spacing w:line="340" w:lineRule="auto"/>
              <w:jc w:val="center"/>
            </w:pPr>
            <w:r>
              <w:rPr>
                <w:color w:val="1A1A2E"/>
                <w:sz w:val="18"/>
                <w:szCs w:val="18"/>
              </w:rPr>
              <w:t>Probability result is noise</w:t>
            </w:r>
          </w:p>
        </w:tc>
      </w:tr>
      <w:tr w:rsidR="003151A7" w14:paraId="5AC2CEF4" w14:textId="77777777">
        <w:tblPrEx>
          <w:tblCellMar>
            <w:top w:w="0" w:type="dxa"/>
            <w:bottom w:w="0" w:type="dxa"/>
          </w:tblCellMar>
        </w:tblPrEx>
        <w:tc>
          <w:tcPr>
            <w:tcW w:w="30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598AFF46" w14:textId="77777777" w:rsidR="003151A7" w:rsidRDefault="00000000">
            <w:pPr>
              <w:spacing w:line="340" w:lineRule="auto"/>
            </w:pPr>
            <w:r>
              <w:rPr>
                <w:b/>
                <w:bCs/>
                <w:color w:val="1A56C4"/>
                <w:sz w:val="18"/>
                <w:szCs w:val="18"/>
              </w:rPr>
              <w:lastRenderedPageBreak/>
              <w:t>Significance</w:t>
            </w:r>
          </w:p>
        </w:tc>
        <w:tc>
          <w:tcPr>
            <w:tcW w:w="168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tcPr>
          <w:p w14:paraId="4470129F" w14:textId="77777777" w:rsidR="003151A7" w:rsidRDefault="00000000">
            <w:pPr>
              <w:spacing w:line="340" w:lineRule="auto"/>
              <w:jc w:val="center"/>
            </w:pPr>
            <w:r>
              <w:rPr>
                <w:color w:val="64748B"/>
                <w:sz w:val="18"/>
                <w:szCs w:val="18"/>
              </w:rPr>
              <w:t>ns</w:t>
            </w:r>
          </w:p>
        </w:tc>
        <w:tc>
          <w:tcPr>
            <w:tcW w:w="168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1A8730B6" w14:textId="77777777" w:rsidR="003151A7" w:rsidRDefault="00000000">
            <w:pPr>
              <w:spacing w:line="340" w:lineRule="auto"/>
              <w:jc w:val="center"/>
            </w:pPr>
            <w:r>
              <w:rPr>
                <w:b/>
                <w:bCs/>
                <w:color w:val="1E6B3C"/>
                <w:sz w:val="18"/>
                <w:szCs w:val="18"/>
              </w:rPr>
              <w:t>★★  p&lt;.01</w:t>
            </w:r>
          </w:p>
        </w:tc>
        <w:tc>
          <w:tcPr>
            <w:tcW w:w="168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4F646C84" w14:textId="77777777" w:rsidR="003151A7" w:rsidRDefault="00000000">
            <w:pPr>
              <w:spacing w:line="340" w:lineRule="auto"/>
              <w:jc w:val="center"/>
            </w:pPr>
            <w:r>
              <w:rPr>
                <w:b/>
                <w:bCs/>
                <w:color w:val="1E6B3C"/>
                <w:sz w:val="18"/>
                <w:szCs w:val="18"/>
              </w:rPr>
              <w:t>★★  p&lt;.01</w:t>
            </w:r>
          </w:p>
        </w:tc>
        <w:tc>
          <w:tcPr>
            <w:tcW w:w="232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5AA3D8D8" w14:textId="77777777" w:rsidR="003151A7" w:rsidRDefault="00000000">
            <w:pPr>
              <w:spacing w:line="340" w:lineRule="auto"/>
              <w:jc w:val="center"/>
            </w:pPr>
            <w:r>
              <w:rPr>
                <w:b/>
                <w:bCs/>
                <w:color w:val="1E6B3C"/>
                <w:sz w:val="18"/>
                <w:szCs w:val="18"/>
              </w:rPr>
              <w:t>Green = significant</w:t>
            </w:r>
          </w:p>
        </w:tc>
      </w:tr>
    </w:tbl>
    <w:p w14:paraId="7E8A4379"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51A7" w14:paraId="6FE6CF47" w14:textId="77777777">
        <w:tblPrEx>
          <w:tblCellMar>
            <w:top w:w="0" w:type="dxa"/>
            <w:bottom w:w="0" w:type="dxa"/>
          </w:tblCellMar>
        </w:tblPrEx>
        <w:tc>
          <w:tcPr>
            <w:tcW w:w="20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94B7B2F" w14:textId="77777777" w:rsidR="003151A7" w:rsidRDefault="00000000">
            <w:pPr>
              <w:spacing w:line="340" w:lineRule="auto"/>
              <w:jc w:val="center"/>
            </w:pPr>
            <w:r>
              <w:rPr>
                <w:b/>
                <w:bCs/>
                <w:color w:val="1E6B3C"/>
                <w:sz w:val="17"/>
                <w:szCs w:val="17"/>
              </w:rPr>
              <w:t>★★★  p&lt;.001</w:t>
            </w:r>
          </w:p>
        </w:tc>
        <w:tc>
          <w:tcPr>
            <w:tcW w:w="2000" w:type="dxa"/>
            <w:tcBorders>
              <w:top w:val="single" w:sz="1" w:space="0" w:color="D1D9E8"/>
              <w:left w:val="single" w:sz="1" w:space="0" w:color="D1D9E8"/>
              <w:bottom w:val="single" w:sz="1" w:space="0" w:color="D1D9E8"/>
              <w:right w:val="single" w:sz="1" w:space="0" w:color="D1D9E8"/>
            </w:tcBorders>
            <w:shd w:val="clear" w:color="auto" w:fill="E8F0FF"/>
            <w:tcMar>
              <w:top w:w="100" w:type="dxa"/>
              <w:left w:w="140" w:type="dxa"/>
              <w:bottom w:w="100" w:type="dxa"/>
              <w:right w:w="140" w:type="dxa"/>
            </w:tcMar>
            <w:vAlign w:val="center"/>
          </w:tcPr>
          <w:p w14:paraId="7FC18839" w14:textId="77777777" w:rsidR="003151A7" w:rsidRDefault="00000000">
            <w:pPr>
              <w:spacing w:line="340" w:lineRule="auto"/>
              <w:jc w:val="center"/>
            </w:pPr>
            <w:r>
              <w:rPr>
                <w:b/>
                <w:bCs/>
                <w:color w:val="1A56C4"/>
                <w:sz w:val="17"/>
                <w:szCs w:val="17"/>
              </w:rPr>
              <w:t>★★  p&lt;.01</w:t>
            </w:r>
          </w:p>
        </w:tc>
        <w:tc>
          <w:tcPr>
            <w:tcW w:w="2000" w:type="dxa"/>
            <w:tcBorders>
              <w:top w:val="single" w:sz="1" w:space="0" w:color="D1D9E8"/>
              <w:left w:val="single" w:sz="1" w:space="0" w:color="D1D9E8"/>
              <w:bottom w:val="single" w:sz="1" w:space="0" w:color="D1D9E8"/>
              <w:right w:val="single" w:sz="1" w:space="0" w:color="D1D9E8"/>
            </w:tcBorders>
            <w:shd w:val="clear" w:color="auto" w:fill="F0F8FF"/>
            <w:tcMar>
              <w:top w:w="100" w:type="dxa"/>
              <w:left w:w="140" w:type="dxa"/>
              <w:bottom w:w="100" w:type="dxa"/>
              <w:right w:w="140" w:type="dxa"/>
            </w:tcMar>
            <w:vAlign w:val="center"/>
          </w:tcPr>
          <w:p w14:paraId="3E93DDDB" w14:textId="77777777" w:rsidR="003151A7" w:rsidRDefault="00000000">
            <w:pPr>
              <w:spacing w:line="340" w:lineRule="auto"/>
              <w:jc w:val="center"/>
            </w:pPr>
            <w:r>
              <w:rPr>
                <w:b/>
                <w:bCs/>
                <w:color w:val="2563EB"/>
                <w:sz w:val="17"/>
                <w:szCs w:val="17"/>
              </w:rPr>
              <w:t>★  p&lt;.05</w:t>
            </w:r>
          </w:p>
        </w:tc>
        <w:tc>
          <w:tcPr>
            <w:tcW w:w="20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49B2EACE" w14:textId="77777777" w:rsidR="003151A7" w:rsidRDefault="00000000">
            <w:pPr>
              <w:spacing w:line="340" w:lineRule="auto"/>
              <w:jc w:val="center"/>
            </w:pPr>
            <w:r>
              <w:rPr>
                <w:b/>
                <w:bCs/>
                <w:color w:val="7A4F00"/>
                <w:sz w:val="17"/>
                <w:szCs w:val="17"/>
              </w:rPr>
              <w:t>↑  p&lt;.10  trending</w:t>
            </w:r>
          </w:p>
        </w:tc>
      </w:tr>
    </w:tbl>
    <w:p w14:paraId="04AACCF5" w14:textId="77777777" w:rsidR="003151A7" w:rsidRDefault="003151A7">
      <w:pPr>
        <w:spacing w:after="80"/>
      </w:pPr>
    </w:p>
    <w:p w14:paraId="278597B7" w14:textId="77777777" w:rsidR="003151A7" w:rsidRDefault="00000000">
      <w:pPr>
        <w:spacing w:after="160" w:line="340" w:lineRule="auto"/>
      </w:pPr>
      <w:r>
        <w:rPr>
          <w:b/>
          <w:bCs/>
          <w:i/>
          <w:iCs/>
          <w:color w:val="64748B"/>
          <w:sz w:val="18"/>
          <w:szCs w:val="18"/>
        </w:rPr>
        <w:t xml:space="preserve">Note. </w:t>
      </w:r>
      <w:r>
        <w:rPr>
          <w:i/>
          <w:iCs/>
          <w:color w:val="64748B"/>
          <w:sz w:val="18"/>
          <w:szCs w:val="18"/>
        </w:rPr>
        <w:t>Var(U₀j) = between-community-district variance in school baseline scores. ICC = Intraclass Correlation Coefficient. γ₀₁ = Level 2 coefficient on NEQ. All Level 1 continuous predictors z-scored. NEQ = 2-component zoning policy index rescaled 1–10, then z-scored for regression. REML estimation. 43 community districts. The Algebra Var(U₀j) increases slightly from Level 1 to Level 1+NEQ (0.167 → 0.259) — a known REML boundary artifact when between-district variance approaches zero.</w:t>
      </w:r>
    </w:p>
    <w:p w14:paraId="4B1A109C" w14:textId="77777777" w:rsidR="003151A7" w:rsidRDefault="003151A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151A7" w14:paraId="3135E56F" w14:textId="77777777">
        <w:tblPrEx>
          <w:tblCellMar>
            <w:top w:w="0" w:type="dxa"/>
            <w:bottom w:w="0" w:type="dxa"/>
          </w:tblCellMar>
        </w:tblPrEx>
        <w:tc>
          <w:tcPr>
            <w:tcW w:w="200" w:type="dxa"/>
            <w:tcBorders>
              <w:top w:val="none" w:sz="0" w:space="0" w:color="FFFFFF"/>
              <w:left w:val="none" w:sz="0" w:space="0" w:color="FFFFFF"/>
              <w:bottom w:val="none" w:sz="0" w:space="0" w:color="FFFFFF"/>
              <w:right w:val="single" w:sz="20" w:space="0" w:color="1A56C4"/>
            </w:tcBorders>
            <w:shd w:val="clear" w:color="auto" w:fill="EBF4FF"/>
          </w:tcPr>
          <w:p w14:paraId="41FC154D" w14:textId="77777777" w:rsidR="003151A7" w:rsidRDefault="003151A7"/>
        </w:tc>
        <w:tc>
          <w:tcPr>
            <w:tcW w:w="9160" w:type="dxa"/>
            <w:tcBorders>
              <w:top w:val="none" w:sz="0" w:space="0" w:color="FFFFFF"/>
              <w:left w:val="none" w:sz="0" w:space="0" w:color="FFFFFF"/>
              <w:bottom w:val="none" w:sz="0" w:space="0" w:color="FFFFFF"/>
              <w:right w:val="none" w:sz="0" w:space="0" w:color="FFFFFF"/>
            </w:tcBorders>
            <w:shd w:val="clear" w:color="auto" w:fill="EBF4FF"/>
            <w:tcMar>
              <w:top w:w="140" w:type="dxa"/>
              <w:left w:w="220" w:type="dxa"/>
              <w:bottom w:w="140" w:type="dxa"/>
              <w:right w:w="220" w:type="dxa"/>
            </w:tcMar>
          </w:tcPr>
          <w:p w14:paraId="7ECA02A3" w14:textId="77777777" w:rsidR="003151A7" w:rsidRDefault="00000000">
            <w:pPr>
              <w:spacing w:after="60"/>
            </w:pPr>
            <w:r>
              <w:rPr>
                <w:b/>
                <w:bCs/>
                <w:color w:val="1A56C4"/>
                <w:sz w:val="20"/>
                <w:szCs w:val="20"/>
              </w:rPr>
              <w:t>Reading the central result</w:t>
            </w:r>
          </w:p>
          <w:p w14:paraId="26D414FD" w14:textId="5579CA0A" w:rsidR="003151A7" w:rsidRDefault="00000000">
            <w:pPr>
              <w:spacing w:line="380" w:lineRule="auto"/>
            </w:pPr>
            <w:r>
              <w:rPr>
                <w:color w:val="1A1A2E"/>
                <w:sz w:val="20"/>
                <w:szCs w:val="20"/>
              </w:rPr>
              <w:t>For ELA: school-level composition and organization explains 78.8% of between-neighborhood performance variation, leaving 21.2% unaccounted for. The NEQ policy context index explains a statistically significant additional 5.6% of that residual (γ₀₁ = +1.18, p = .003). A school located in a community district one standard deviation higher on the NEQ index is associated with a 1.18 point higher ELA mean score - after all school-level controls.  For Algebra: composition and organization explains 97.1%, leaving almost no between-neighborhood variation for policy context to explain. NEQ adds nothing (p = .368). Between-neighborhood variation in math outcomes is fully accounted for by school-level factors.  This cross-subject pattern — ELA and science showing policy context effects, math not — directly addresses prospectus Goal 3: testing stability of Level 2 effects across disciplines.</w:t>
            </w:r>
          </w:p>
        </w:tc>
      </w:tr>
    </w:tbl>
    <w:p w14:paraId="7BAF9DA6" w14:textId="77777777" w:rsidR="003151A7" w:rsidRDefault="003151A7">
      <w:pPr>
        <w:spacing w:after="120"/>
      </w:pPr>
    </w:p>
    <w:p w14:paraId="1B3FF0B4" w14:textId="77777777" w:rsidR="003151A7" w:rsidRDefault="00000000">
      <w:pPr>
        <w:pStyle w:val="Heading2"/>
      </w:pPr>
      <w:r>
        <w:t>4.2  Fixed effects — Level 1 predictors</w:t>
      </w:r>
    </w:p>
    <w:p w14:paraId="7F01E58E" w14:textId="77777777" w:rsidR="003151A7" w:rsidRDefault="00000000">
      <w:pPr>
        <w:spacing w:after="180" w:line="400" w:lineRule="auto"/>
      </w:pPr>
      <w:r>
        <w:rPr>
          <w:color w:val="1A1A2E"/>
          <w:sz w:val="21"/>
          <w:szCs w:val="21"/>
        </w:rPr>
        <w:t>Table 2 shows the school-level associations for each predictor across all three exams. Because all continuous predictors are z-scored, β values are directly comparable in magnitude. The NEQ row at the bottom is the Level 2 policy context coefficient.</w:t>
      </w:r>
    </w:p>
    <w:p w14:paraId="06D07353" w14:textId="77777777" w:rsidR="003151A7" w:rsidRDefault="003151A7">
      <w:pPr>
        <w:spacing w:after="80"/>
      </w:pPr>
    </w:p>
    <w:p w14:paraId="05E4D8A6" w14:textId="77777777" w:rsidR="003151A7" w:rsidRDefault="00000000">
      <w:pPr>
        <w:spacing w:after="100" w:line="400" w:lineRule="auto"/>
      </w:pPr>
      <w:r>
        <w:rPr>
          <w:b/>
          <w:bCs/>
          <w:color w:val="1A1A2E"/>
          <w:sz w:val="20"/>
          <w:szCs w:val="20"/>
        </w:rPr>
        <w:t xml:space="preserve">Table 2.  </w:t>
      </w:r>
      <w:r>
        <w:rPr>
          <w:i/>
          <w:iCs/>
          <w:color w:val="1A1A2E"/>
          <w:sz w:val="20"/>
          <w:szCs w:val="20"/>
        </w:rPr>
        <w:t>Fixed effects — Model 3 (Level 1 + NEQ policy context), standardized coefficients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893"/>
        <w:gridCol w:w="889"/>
        <w:gridCol w:w="894"/>
        <w:gridCol w:w="889"/>
        <w:gridCol w:w="894"/>
        <w:gridCol w:w="889"/>
        <w:gridCol w:w="1359"/>
      </w:tblGrid>
      <w:tr w:rsidR="003151A7" w14:paraId="42CFCB31"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37581333" w14:textId="77777777" w:rsidR="003151A7" w:rsidRDefault="00000000">
            <w:pPr>
              <w:spacing w:line="340" w:lineRule="auto"/>
            </w:pPr>
            <w:r>
              <w:rPr>
                <w:b/>
                <w:bCs/>
                <w:color w:val="FFFFFF"/>
                <w:sz w:val="18"/>
                <w:szCs w:val="18"/>
              </w:rPr>
              <w:t>Predictor (all z-scored)</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8E55C86" w14:textId="77777777" w:rsidR="003151A7" w:rsidRDefault="00000000">
            <w:pPr>
              <w:spacing w:line="340" w:lineRule="auto"/>
              <w:jc w:val="center"/>
            </w:pPr>
            <w:r>
              <w:rPr>
                <w:b/>
                <w:bCs/>
                <w:color w:val="FFFFFF"/>
                <w:sz w:val="18"/>
                <w:szCs w:val="18"/>
              </w:rPr>
              <w:t>Alg β</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221B6815" w14:textId="77777777" w:rsidR="003151A7" w:rsidRDefault="00000000">
            <w:pPr>
              <w:spacing w:line="340" w:lineRule="auto"/>
              <w:jc w:val="center"/>
            </w:pPr>
            <w:r>
              <w:rPr>
                <w:b/>
                <w:bCs/>
                <w:color w:val="FFFFFF"/>
                <w:sz w:val="18"/>
                <w:szCs w:val="18"/>
              </w:rPr>
              <w:t>Alg p</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1074BA95" w14:textId="77777777" w:rsidR="003151A7" w:rsidRDefault="00000000">
            <w:pPr>
              <w:spacing w:line="340" w:lineRule="auto"/>
              <w:jc w:val="center"/>
            </w:pPr>
            <w:r>
              <w:rPr>
                <w:b/>
                <w:bCs/>
                <w:color w:val="FFFFFF"/>
                <w:sz w:val="18"/>
                <w:szCs w:val="18"/>
              </w:rPr>
              <w:t>ELA β</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926AE82" w14:textId="77777777" w:rsidR="003151A7" w:rsidRDefault="00000000">
            <w:pPr>
              <w:spacing w:line="340" w:lineRule="auto"/>
              <w:jc w:val="center"/>
            </w:pPr>
            <w:r>
              <w:rPr>
                <w:b/>
                <w:bCs/>
                <w:color w:val="FFFFFF"/>
                <w:sz w:val="18"/>
                <w:szCs w:val="18"/>
              </w:rPr>
              <w:t>ELA p</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C019CE7" w14:textId="77777777" w:rsidR="003151A7" w:rsidRDefault="00000000">
            <w:pPr>
              <w:spacing w:line="340" w:lineRule="auto"/>
              <w:jc w:val="center"/>
            </w:pPr>
            <w:r>
              <w:rPr>
                <w:b/>
                <w:bCs/>
                <w:color w:val="FFFFFF"/>
                <w:sz w:val="18"/>
                <w:szCs w:val="18"/>
              </w:rPr>
              <w:t>Sci β</w:t>
            </w:r>
          </w:p>
        </w:tc>
        <w:tc>
          <w:tcPr>
            <w:tcW w:w="9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4ECFE12" w14:textId="77777777" w:rsidR="003151A7" w:rsidRDefault="00000000">
            <w:pPr>
              <w:spacing w:line="340" w:lineRule="auto"/>
              <w:jc w:val="center"/>
            </w:pPr>
            <w:r>
              <w:rPr>
                <w:b/>
                <w:bCs/>
                <w:color w:val="FFFFFF"/>
                <w:sz w:val="18"/>
                <w:szCs w:val="18"/>
              </w:rPr>
              <w:t>Sci p</w:t>
            </w:r>
          </w:p>
        </w:tc>
        <w:tc>
          <w:tcPr>
            <w:tcW w:w="13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02DBBC34" w14:textId="77777777" w:rsidR="003151A7" w:rsidRDefault="00000000">
            <w:pPr>
              <w:spacing w:line="340" w:lineRule="auto"/>
            </w:pPr>
            <w:r>
              <w:rPr>
                <w:b/>
                <w:bCs/>
                <w:color w:val="FFFFFF"/>
                <w:sz w:val="18"/>
                <w:szCs w:val="18"/>
              </w:rPr>
              <w:t>Interpretation</w:t>
            </w:r>
          </w:p>
        </w:tc>
      </w:tr>
      <w:tr w:rsidR="003151A7" w14:paraId="22841D33"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8B2E867" w14:textId="77777777" w:rsidR="003151A7" w:rsidRDefault="00000000">
            <w:pPr>
              <w:spacing w:line="340" w:lineRule="auto"/>
            </w:pPr>
            <w:r>
              <w:rPr>
                <w:color w:val="1A1A2E"/>
                <w:sz w:val="18"/>
                <w:szCs w:val="18"/>
              </w:rPr>
              <w:t>ELL%</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28A7A7B" w14:textId="77777777" w:rsidR="003151A7" w:rsidRDefault="00000000">
            <w:pPr>
              <w:spacing w:line="340" w:lineRule="auto"/>
              <w:jc w:val="center"/>
            </w:pPr>
            <w:r>
              <w:rPr>
                <w:color w:val="1A1A2E"/>
                <w:sz w:val="18"/>
                <w:szCs w:val="18"/>
              </w:rPr>
              <w:t>-0.339</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58989F6" w14:textId="77777777" w:rsidR="003151A7" w:rsidRDefault="00000000">
            <w:pPr>
              <w:spacing w:line="340" w:lineRule="auto"/>
              <w:jc w:val="center"/>
            </w:pPr>
            <w:r>
              <w:rPr>
                <w:color w:val="1A1A2E"/>
                <w:sz w:val="18"/>
                <w:szCs w:val="18"/>
              </w:rPr>
              <w:t>.277</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87E94EF" w14:textId="77777777" w:rsidR="003151A7" w:rsidRDefault="00000000">
            <w:pPr>
              <w:spacing w:line="340" w:lineRule="auto"/>
              <w:jc w:val="center"/>
            </w:pPr>
            <w:r>
              <w:rPr>
                <w:color w:val="1A1A2E"/>
                <w:sz w:val="18"/>
                <w:szCs w:val="18"/>
              </w:rPr>
              <w:t>-4.804</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B24643F" w14:textId="77777777" w:rsidR="003151A7" w:rsidRDefault="00000000">
            <w:pPr>
              <w:spacing w:line="340" w:lineRule="auto"/>
              <w:jc w:val="center"/>
            </w:pPr>
            <w:r>
              <w:rPr>
                <w:color w:val="1A1A2E"/>
                <w:sz w:val="18"/>
                <w:szCs w:val="18"/>
              </w:rPr>
              <w:t>&lt;.001</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E26B368" w14:textId="77777777" w:rsidR="003151A7" w:rsidRDefault="00000000">
            <w:pPr>
              <w:spacing w:line="340" w:lineRule="auto"/>
              <w:jc w:val="center"/>
            </w:pPr>
            <w:r>
              <w:rPr>
                <w:color w:val="1A1A2E"/>
                <w:sz w:val="18"/>
                <w:szCs w:val="18"/>
              </w:rPr>
              <w:t>-1.044</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3DBD738C" w14:textId="77777777" w:rsidR="003151A7" w:rsidRDefault="00000000">
            <w:pPr>
              <w:spacing w:line="340" w:lineRule="auto"/>
              <w:jc w:val="center"/>
            </w:pPr>
            <w:r>
              <w:rPr>
                <w:color w:val="1E6B3C"/>
                <w:sz w:val="18"/>
                <w:szCs w:val="18"/>
              </w:rPr>
              <w:t>.001</w:t>
            </w:r>
          </w:p>
        </w:tc>
        <w:tc>
          <w:tcPr>
            <w:tcW w:w="13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2806A8BD" w14:textId="77777777" w:rsidR="003151A7" w:rsidRDefault="00000000">
            <w:pPr>
              <w:spacing w:line="340" w:lineRule="auto"/>
            </w:pPr>
            <w:r>
              <w:rPr>
                <w:color w:val="1A1A2E"/>
                <w:sz w:val="16"/>
                <w:szCs w:val="16"/>
              </w:rPr>
              <w:t xml:space="preserve">Near-zero for Algebra; dominant for ELA. Confirms subject-specificity — </w:t>
              <w:lastRenderedPageBreak/>
              <w:t>language assessment effect, not general disadvantage.</w:t>
            </w:r>
          </w:p>
        </w:tc>
      </w:tr>
      <w:tr w:rsidR="003151A7" w14:paraId="19528F53"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4160EC64" w14:textId="77777777" w:rsidR="003151A7" w:rsidRDefault="00000000">
            <w:pPr>
              <w:spacing w:line="340" w:lineRule="auto"/>
            </w:pPr>
            <w:r>
              <w:rPr>
                <w:color w:val="1A1A2E"/>
                <w:sz w:val="18"/>
                <w:szCs w:val="18"/>
              </w:rPr>
              <w:lastRenderedPageBreak/>
              <w:t>EconDisadvantaged%</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E59A161" w14:textId="77777777" w:rsidR="003151A7" w:rsidRDefault="00000000">
            <w:pPr>
              <w:spacing w:line="340" w:lineRule="auto"/>
              <w:jc w:val="center"/>
            </w:pPr>
            <w:r>
              <w:rPr>
                <w:color w:val="1A1A2E"/>
                <w:sz w:val="18"/>
                <w:szCs w:val="18"/>
              </w:rPr>
              <w:t>-1.751</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F90D30B" w14:textId="77777777" w:rsidR="003151A7" w:rsidRDefault="00000000">
            <w:pPr>
              <w:spacing w:line="340" w:lineRule="auto"/>
              <w:jc w:val="center"/>
            </w:pPr>
            <w:r>
              <w:rPr>
                <w:color w:val="1A1A2E"/>
                <w:sz w:val="18"/>
                <w:szCs w:val="18"/>
              </w:rPr>
              <w:t>&lt;.001</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1FD0771" w14:textId="77777777" w:rsidR="003151A7" w:rsidRDefault="00000000">
            <w:pPr>
              <w:spacing w:line="340" w:lineRule="auto"/>
              <w:jc w:val="center"/>
            </w:pPr>
            <w:r>
              <w:rPr>
                <w:color w:val="1A1A2E"/>
                <w:sz w:val="18"/>
                <w:szCs w:val="18"/>
              </w:rPr>
              <w:t>-1.808</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313479B" w14:textId="77777777" w:rsidR="003151A7" w:rsidRDefault="00000000">
            <w:pPr>
              <w:spacing w:line="340" w:lineRule="auto"/>
              <w:jc w:val="center"/>
            </w:pPr>
            <w:r>
              <w:rPr>
                <w:color w:val="1A1A2E"/>
                <w:sz w:val="18"/>
                <w:szCs w:val="18"/>
              </w:rPr>
              <w:t>&lt;.001</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5AEB8B6" w14:textId="77777777" w:rsidR="003151A7" w:rsidRDefault="00000000">
            <w:pPr>
              <w:spacing w:line="340" w:lineRule="auto"/>
              <w:jc w:val="center"/>
            </w:pPr>
            <w:r>
              <w:rPr>
                <w:color w:val="1A1A2E"/>
                <w:sz w:val="18"/>
                <w:szCs w:val="18"/>
              </w:rPr>
              <w:t>-2.327</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AF0E8D3" w14:textId="77777777" w:rsidR="003151A7" w:rsidRDefault="00000000">
            <w:pPr>
              <w:spacing w:line="340" w:lineRule="auto"/>
              <w:jc w:val="center"/>
            </w:pPr>
            <w:r>
              <w:rPr>
                <w:color w:val="1A1A2E"/>
                <w:sz w:val="18"/>
                <w:szCs w:val="18"/>
              </w:rPr>
              <w:t>&lt;.001</w:t>
            </w:r>
          </w:p>
        </w:tc>
        <w:tc>
          <w:tcPr>
            <w:tcW w:w="13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57209DCC" w14:textId="77777777" w:rsidR="003151A7" w:rsidRDefault="00000000">
            <w:pPr>
              <w:spacing w:line="340" w:lineRule="auto"/>
            </w:pPr>
            <w:r>
              <w:rPr>
                <w:color w:val="1A1A2E"/>
                <w:sz w:val="16"/>
                <w:szCs w:val="16"/>
              </w:rPr>
              <w:t>Most consistent predictor across all three exams. Every 12pp increase in economic disadvantage is associated with a 1.75–2.33 score-point reduction.</w:t>
            </w:r>
          </w:p>
        </w:tc>
      </w:tr>
      <w:tr w:rsidR="003151A7" w14:paraId="2D547F28"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0F51326E" w14:textId="77777777" w:rsidR="003151A7" w:rsidRDefault="00000000">
            <w:pPr>
              <w:spacing w:line="340" w:lineRule="auto"/>
            </w:pPr>
            <w:r>
              <w:rPr>
                <w:color w:val="1A1A2E"/>
                <w:sz w:val="18"/>
                <w:szCs w:val="18"/>
              </w:rPr>
              <w:t>Asian%</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3908602E" w14:textId="77777777" w:rsidR="003151A7" w:rsidRDefault="00000000">
            <w:pPr>
              <w:spacing w:line="340" w:lineRule="auto"/>
              <w:jc w:val="center"/>
            </w:pPr>
            <w:r>
              <w:rPr>
                <w:color w:val="1A1A2E"/>
                <w:sz w:val="18"/>
                <w:szCs w:val="18"/>
              </w:rPr>
              <w:t>+2.660</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15EA3B9" w14:textId="77777777" w:rsidR="003151A7" w:rsidRDefault="00000000">
            <w:pPr>
              <w:spacing w:line="340" w:lineRule="auto"/>
              <w:jc w:val="center"/>
            </w:pPr>
            <w:r>
              <w:rPr>
                <w:color w:val="1A1A2E"/>
                <w:sz w:val="18"/>
                <w:szCs w:val="18"/>
              </w:rPr>
              <w:t>&lt;.001</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6BBAFF8" w14:textId="77777777" w:rsidR="003151A7" w:rsidRDefault="00000000">
            <w:pPr>
              <w:spacing w:line="340" w:lineRule="auto"/>
              <w:jc w:val="center"/>
            </w:pPr>
            <w:r>
              <w:rPr>
                <w:color w:val="1A1A2E"/>
                <w:sz w:val="18"/>
                <w:szCs w:val="18"/>
              </w:rPr>
              <w:t>+1.572</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95AAD0A" w14:textId="77777777" w:rsidR="003151A7" w:rsidRDefault="00000000">
            <w:pPr>
              <w:spacing w:line="340" w:lineRule="auto"/>
              <w:jc w:val="center"/>
            </w:pPr>
            <w:r>
              <w:rPr>
                <w:color w:val="1E6B3C"/>
                <w:sz w:val="18"/>
                <w:szCs w:val="18"/>
              </w:rPr>
              <w:t>.013</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6AD1A7F" w14:textId="77777777" w:rsidR="003151A7" w:rsidRDefault="00000000">
            <w:pPr>
              <w:spacing w:line="340" w:lineRule="auto"/>
              <w:jc w:val="center"/>
            </w:pPr>
            <w:r>
              <w:rPr>
                <w:color w:val="1A1A2E"/>
                <w:sz w:val="18"/>
                <w:szCs w:val="18"/>
              </w:rPr>
              <w:t>+2.565</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9DE4703" w14:textId="77777777" w:rsidR="003151A7" w:rsidRDefault="00000000">
            <w:pPr>
              <w:spacing w:line="340" w:lineRule="auto"/>
              <w:jc w:val="center"/>
            </w:pPr>
            <w:r>
              <w:rPr>
                <w:color w:val="1A1A2E"/>
                <w:sz w:val="18"/>
                <w:szCs w:val="18"/>
              </w:rPr>
              <w:t>&lt;.001</w:t>
            </w:r>
          </w:p>
        </w:tc>
        <w:tc>
          <w:tcPr>
            <w:tcW w:w="13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F5725DD" w14:textId="77777777" w:rsidR="003151A7" w:rsidRDefault="00000000">
            <w:pPr>
              <w:spacing w:line="340" w:lineRule="auto"/>
            </w:pPr>
            <w:r>
              <w:rPr>
                <w:color w:val="1A1A2E"/>
                <w:sz w:val="16"/>
                <w:szCs w:val="16"/>
              </w:rPr>
              <w:t>Largest positive predictor. Coefficient partly inflated by specialized high school composition (drops ~1pt when 8 specialized schools excluded).</w:t>
            </w:r>
          </w:p>
        </w:tc>
      </w:tr>
      <w:tr w:rsidR="003151A7" w14:paraId="2A5A19E1"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D9EDC47" w14:textId="77777777" w:rsidR="003151A7" w:rsidRDefault="00000000">
            <w:pPr>
              <w:spacing w:line="340" w:lineRule="auto"/>
            </w:pPr>
            <w:r>
              <w:rPr>
                <w:color w:val="1A1A2E"/>
                <w:sz w:val="18"/>
                <w:szCs w:val="18"/>
              </w:rPr>
              <w:t>Black%</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27552DA" w14:textId="77777777" w:rsidR="003151A7" w:rsidRDefault="00000000">
            <w:pPr>
              <w:spacing w:line="340" w:lineRule="auto"/>
              <w:jc w:val="center"/>
            </w:pPr>
            <w:r>
              <w:rPr>
                <w:color w:val="1A1A2E"/>
                <w:sz w:val="18"/>
                <w:szCs w:val="18"/>
              </w:rPr>
              <w:t>-1.543</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9F864D7" w14:textId="77777777" w:rsidR="003151A7" w:rsidRDefault="00000000">
            <w:pPr>
              <w:spacing w:line="340" w:lineRule="auto"/>
              <w:jc w:val="center"/>
            </w:pPr>
            <w:r>
              <w:rPr>
                <w:color w:val="1A1A2E"/>
                <w:sz w:val="18"/>
                <w:szCs w:val="18"/>
              </w:rPr>
              <w:t>.056</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9415875" w14:textId="77777777" w:rsidR="003151A7" w:rsidRDefault="00000000">
            <w:pPr>
              <w:spacing w:line="340" w:lineRule="auto"/>
              <w:jc w:val="center"/>
            </w:pPr>
            <w:r>
              <w:rPr>
                <w:color w:val="1A1A2E"/>
                <w:sz w:val="18"/>
                <w:szCs w:val="18"/>
              </w:rPr>
              <w:t>-2.126</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0AEB5DDE" w14:textId="77777777" w:rsidR="003151A7" w:rsidRDefault="00000000">
            <w:pPr>
              <w:spacing w:line="340" w:lineRule="auto"/>
              <w:jc w:val="center"/>
            </w:pPr>
            <w:r>
              <w:rPr>
                <w:color w:val="1E6B3C"/>
                <w:sz w:val="18"/>
                <w:szCs w:val="18"/>
              </w:rPr>
              <w:t>.020</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27CCD91" w14:textId="77777777" w:rsidR="003151A7" w:rsidRDefault="00000000">
            <w:pPr>
              <w:spacing w:line="340" w:lineRule="auto"/>
              <w:jc w:val="center"/>
            </w:pPr>
            <w:r>
              <w:rPr>
                <w:color w:val="1A1A2E"/>
                <w:sz w:val="18"/>
                <w:szCs w:val="18"/>
              </w:rPr>
              <w:t>-1.876</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08E6E4D5" w14:textId="77777777" w:rsidR="003151A7" w:rsidRDefault="00000000">
            <w:pPr>
              <w:spacing w:line="340" w:lineRule="auto"/>
              <w:jc w:val="center"/>
            </w:pPr>
            <w:r>
              <w:rPr>
                <w:color w:val="1E6B3C"/>
                <w:sz w:val="18"/>
                <w:szCs w:val="18"/>
              </w:rPr>
              <w:t>.035</w:t>
            </w:r>
          </w:p>
        </w:tc>
        <w:tc>
          <w:tcPr>
            <w:tcW w:w="13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CE578DB" w14:textId="77777777" w:rsidR="003151A7" w:rsidRDefault="00000000">
            <w:pPr>
              <w:spacing w:line="340" w:lineRule="auto"/>
            </w:pPr>
            <w:r>
              <w:rPr>
                <w:color w:val="1A1A2E"/>
                <w:sz w:val="16"/>
                <w:szCs w:val="16"/>
              </w:rPr>
              <w:t>After economic disadvantage controlled, this coefficient reflects the residual association between racial enrollment composition and school performance.</w:t>
            </w:r>
          </w:p>
        </w:tc>
      </w:tr>
      <w:tr w:rsidR="003151A7" w14:paraId="73751130"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D9F9D66" w14:textId="77777777" w:rsidR="003151A7" w:rsidRDefault="00000000">
            <w:pPr>
              <w:spacing w:line="340" w:lineRule="auto"/>
            </w:pPr>
            <w:r>
              <w:rPr>
                <w:color w:val="1A1A2E"/>
                <w:sz w:val="18"/>
                <w:szCs w:val="18"/>
              </w:rPr>
              <w:t>ClassSize</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F662D47" w14:textId="77777777" w:rsidR="003151A7" w:rsidRDefault="00000000">
            <w:pPr>
              <w:spacing w:line="340" w:lineRule="auto"/>
              <w:jc w:val="center"/>
            </w:pPr>
            <w:r>
              <w:rPr>
                <w:color w:val="1A1A2E"/>
                <w:sz w:val="18"/>
                <w:szCs w:val="18"/>
              </w:rPr>
              <w:t>+0.743</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DE3EF70" w14:textId="77777777" w:rsidR="003151A7" w:rsidRDefault="00000000">
            <w:pPr>
              <w:spacing w:line="340" w:lineRule="auto"/>
              <w:jc w:val="center"/>
            </w:pPr>
            <w:r>
              <w:rPr>
                <w:color w:val="1A1A2E"/>
                <w:sz w:val="18"/>
                <w:szCs w:val="18"/>
              </w:rPr>
              <w:t>.011</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C654BB7" w14:textId="77777777" w:rsidR="003151A7" w:rsidRDefault="00000000">
            <w:pPr>
              <w:spacing w:line="340" w:lineRule="auto"/>
              <w:jc w:val="center"/>
            </w:pPr>
            <w:r>
              <w:rPr>
                <w:color w:val="1A1A2E"/>
                <w:sz w:val="18"/>
                <w:szCs w:val="18"/>
              </w:rPr>
              <w:t>+0.935</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51695E0" w14:textId="77777777" w:rsidR="003151A7" w:rsidRDefault="00000000">
            <w:pPr>
              <w:spacing w:line="340" w:lineRule="auto"/>
              <w:jc w:val="center"/>
            </w:pPr>
            <w:r>
              <w:rPr>
                <w:color w:val="1E6B3C"/>
                <w:sz w:val="18"/>
                <w:szCs w:val="18"/>
              </w:rPr>
              <w:t>.004</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2E80AFE2" w14:textId="77777777" w:rsidR="003151A7" w:rsidRDefault="00000000">
            <w:pPr>
              <w:spacing w:line="340" w:lineRule="auto"/>
              <w:jc w:val="center"/>
            </w:pPr>
            <w:r>
              <w:rPr>
                <w:color w:val="1A1A2E"/>
                <w:sz w:val="18"/>
                <w:szCs w:val="18"/>
              </w:rPr>
              <w:t>+1.017</w:t>
            </w:r>
          </w:p>
        </w:tc>
        <w:tc>
          <w:tcPr>
            <w:tcW w:w="9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9E82E19" w14:textId="77777777" w:rsidR="003151A7" w:rsidRDefault="00000000">
            <w:pPr>
              <w:spacing w:line="340" w:lineRule="auto"/>
              <w:jc w:val="center"/>
            </w:pPr>
            <w:r>
              <w:rPr>
                <w:color w:val="1E6B3C"/>
                <w:sz w:val="18"/>
                <w:szCs w:val="18"/>
              </w:rPr>
              <w:t>.002</w:t>
            </w:r>
          </w:p>
        </w:tc>
        <w:tc>
          <w:tcPr>
            <w:tcW w:w="13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7B3D2303" w14:textId="77777777" w:rsidR="003151A7" w:rsidRDefault="00000000">
            <w:pPr>
              <w:spacing w:line="340" w:lineRule="auto"/>
            </w:pPr>
            <w:r>
              <w:rPr>
                <w:color w:val="1A1A2E"/>
                <w:sz w:val="16"/>
                <w:szCs w:val="16"/>
              </w:rPr>
              <w:t xml:space="preserve">Positive coefficient reflects a selection effect </w:t>
              <w:lastRenderedPageBreak/>
              <w:t>— larger classes cluster at more resource-rich general education schools, not a causal crowding benefit.</w:t>
            </w:r>
          </w:p>
        </w:tc>
      </w:tr>
      <w:tr w:rsidR="003151A7" w14:paraId="356D5D1D"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6D215C3D" w14:textId="77777777" w:rsidR="003151A7" w:rsidRDefault="00000000">
            <w:pPr>
              <w:spacing w:line="340" w:lineRule="auto"/>
            </w:pPr>
            <w:r>
              <w:rPr>
                <w:color w:val="1A1A2E"/>
                <w:sz w:val="18"/>
                <w:szCs w:val="18"/>
              </w:rPr>
              <w:lastRenderedPageBreak/>
              <w:t>Hispanic%</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3DC8F77" w14:textId="77777777" w:rsidR="003151A7" w:rsidRDefault="00000000">
            <w:pPr>
              <w:spacing w:line="340" w:lineRule="auto"/>
              <w:jc w:val="center"/>
            </w:pPr>
            <w:r>
              <w:rPr>
                <w:color w:val="1A1A2E"/>
                <w:sz w:val="18"/>
                <w:szCs w:val="18"/>
              </w:rPr>
              <w:t>-1.030</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F789316" w14:textId="77777777" w:rsidR="003151A7" w:rsidRDefault="00000000">
            <w:pPr>
              <w:spacing w:line="340" w:lineRule="auto"/>
              <w:jc w:val="center"/>
            </w:pPr>
            <w:r>
              <w:rPr>
                <w:color w:val="1A1A2E"/>
                <w:sz w:val="18"/>
                <w:szCs w:val="18"/>
              </w:rPr>
              <w:t>.205</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FAF7814" w14:textId="77777777" w:rsidR="003151A7" w:rsidRDefault="00000000">
            <w:pPr>
              <w:spacing w:line="340" w:lineRule="auto"/>
              <w:jc w:val="center"/>
            </w:pPr>
            <w:r>
              <w:rPr>
                <w:color w:val="1A1A2E"/>
                <w:sz w:val="18"/>
                <w:szCs w:val="18"/>
              </w:rPr>
              <w:t>-1.573</w:t>
            </w:r>
          </w:p>
        </w:tc>
        <w:tc>
          <w:tcPr>
            <w:tcW w:w="9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499E5CE0" w14:textId="77777777" w:rsidR="003151A7" w:rsidRDefault="00000000">
            <w:pPr>
              <w:spacing w:line="340" w:lineRule="auto"/>
              <w:jc w:val="center"/>
            </w:pPr>
            <w:r>
              <w:rPr>
                <w:color w:val="7A4F00"/>
                <w:sz w:val="18"/>
                <w:szCs w:val="18"/>
              </w:rPr>
              <w:t>.087</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B5DCD66" w14:textId="77777777" w:rsidR="003151A7" w:rsidRDefault="00000000">
            <w:pPr>
              <w:spacing w:line="340" w:lineRule="auto"/>
              <w:jc w:val="center"/>
            </w:pPr>
            <w:r>
              <w:rPr>
                <w:color w:val="1A1A2E"/>
                <w:sz w:val="18"/>
                <w:szCs w:val="18"/>
              </w:rPr>
              <w:t>-0.852</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89D9B98" w14:textId="77777777" w:rsidR="003151A7" w:rsidRDefault="00000000">
            <w:pPr>
              <w:spacing w:line="340" w:lineRule="auto"/>
              <w:jc w:val="center"/>
            </w:pPr>
            <w:r>
              <w:rPr>
                <w:color w:val="1A1A2E"/>
                <w:sz w:val="18"/>
                <w:szCs w:val="18"/>
              </w:rPr>
              <w:t>.366</w:t>
            </w:r>
          </w:p>
        </w:tc>
        <w:tc>
          <w:tcPr>
            <w:tcW w:w="13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166F262" w14:textId="77777777" w:rsidR="003151A7" w:rsidRDefault="00000000">
            <w:pPr>
              <w:spacing w:line="340" w:lineRule="auto"/>
            </w:pPr>
            <w:r>
              <w:rPr>
                <w:color w:val="1A1A2E"/>
                <w:sz w:val="16"/>
                <w:szCs w:val="16"/>
              </w:rPr>
              <w:t>Direction consistent with Black%. Does not reach significance after economic disadvantage controlled.</w:t>
            </w:r>
          </w:p>
        </w:tc>
      </w:tr>
      <w:tr w:rsidR="003151A7" w14:paraId="3D7A9C8C"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F99EE43" w14:textId="77777777" w:rsidR="003151A7" w:rsidRDefault="00000000">
            <w:pPr>
              <w:spacing w:line="340" w:lineRule="auto"/>
            </w:pPr>
            <w:r>
              <w:rPr>
                <w:color w:val="1A1A2E"/>
                <w:sz w:val="18"/>
                <w:szCs w:val="18"/>
              </w:rPr>
              <w:t>Transfer school</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F565A2F" w14:textId="77777777" w:rsidR="003151A7" w:rsidRDefault="00000000">
            <w:pPr>
              <w:spacing w:line="340" w:lineRule="auto"/>
              <w:jc w:val="center"/>
            </w:pPr>
            <w:r>
              <w:rPr>
                <w:color w:val="1A1A2E"/>
                <w:sz w:val="18"/>
                <w:szCs w:val="18"/>
              </w:rPr>
              <w:t>-0.043</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ECE6861" w14:textId="77777777" w:rsidR="003151A7" w:rsidRDefault="00000000">
            <w:pPr>
              <w:spacing w:line="340" w:lineRule="auto"/>
              <w:jc w:val="center"/>
            </w:pPr>
            <w:r>
              <w:rPr>
                <w:color w:val="1A1A2E"/>
                <w:sz w:val="18"/>
                <w:szCs w:val="18"/>
              </w:rPr>
              <w:t>.969</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F8750FE" w14:textId="77777777" w:rsidR="003151A7" w:rsidRDefault="00000000">
            <w:pPr>
              <w:spacing w:line="340" w:lineRule="auto"/>
              <w:jc w:val="center"/>
            </w:pPr>
            <w:r>
              <w:rPr>
                <w:color w:val="1A1A2E"/>
                <w:sz w:val="18"/>
                <w:szCs w:val="18"/>
              </w:rPr>
              <w:t>-1.210</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53AEE94" w14:textId="77777777" w:rsidR="003151A7" w:rsidRDefault="00000000">
            <w:pPr>
              <w:spacing w:line="340" w:lineRule="auto"/>
              <w:jc w:val="center"/>
            </w:pPr>
            <w:r>
              <w:rPr>
                <w:color w:val="1A1A2E"/>
                <w:sz w:val="18"/>
                <w:szCs w:val="18"/>
              </w:rPr>
              <w:t>.263</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0DF5020" w14:textId="77777777" w:rsidR="003151A7" w:rsidRDefault="00000000">
            <w:pPr>
              <w:spacing w:line="340" w:lineRule="auto"/>
              <w:jc w:val="center"/>
            </w:pPr>
            <w:r>
              <w:rPr>
                <w:color w:val="1A1A2E"/>
                <w:sz w:val="18"/>
                <w:szCs w:val="18"/>
              </w:rPr>
              <w:t>+0.205</w:t>
            </w:r>
          </w:p>
        </w:tc>
        <w:tc>
          <w:tcPr>
            <w:tcW w:w="9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211A37B" w14:textId="77777777" w:rsidR="003151A7" w:rsidRDefault="00000000">
            <w:pPr>
              <w:spacing w:line="340" w:lineRule="auto"/>
              <w:jc w:val="center"/>
            </w:pPr>
            <w:r>
              <w:rPr>
                <w:color w:val="1A1A2E"/>
                <w:sz w:val="18"/>
                <w:szCs w:val="18"/>
              </w:rPr>
              <w:t>.863</w:t>
            </w:r>
          </w:p>
        </w:tc>
        <w:tc>
          <w:tcPr>
            <w:tcW w:w="13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9B986F0" w14:textId="77777777" w:rsidR="003151A7" w:rsidRDefault="00000000">
            <w:pPr>
              <w:spacing w:line="340" w:lineRule="auto"/>
            </w:pPr>
            <w:r>
              <w:rPr>
                <w:color w:val="1A1A2E"/>
                <w:sz w:val="16"/>
                <w:szCs w:val="16"/>
              </w:rPr>
              <w:t>ELA coefficient reflects the population served. Small n (41 schools) limits statistical power.</w:t>
            </w:r>
          </w:p>
        </w:tc>
      </w:tr>
      <w:tr w:rsidR="003151A7" w14:paraId="68303667"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3D48E43" w14:textId="77777777" w:rsidR="003151A7" w:rsidRDefault="00000000">
            <w:pPr>
              <w:spacing w:line="340" w:lineRule="auto"/>
            </w:pPr>
            <w:r>
              <w:rPr>
                <w:color w:val="1A1A2E"/>
                <w:sz w:val="18"/>
                <w:szCs w:val="18"/>
              </w:rPr>
              <w:t>CTE school</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C626D4B" w14:textId="77777777" w:rsidR="003151A7" w:rsidRDefault="00000000">
            <w:pPr>
              <w:spacing w:line="340" w:lineRule="auto"/>
              <w:jc w:val="center"/>
            </w:pPr>
            <w:r>
              <w:rPr>
                <w:color w:val="1A1A2E"/>
                <w:sz w:val="18"/>
                <w:szCs w:val="18"/>
              </w:rPr>
              <w:t>+0.388</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7079EA0" w14:textId="77777777" w:rsidR="003151A7" w:rsidRDefault="00000000">
            <w:pPr>
              <w:spacing w:line="340" w:lineRule="auto"/>
              <w:jc w:val="center"/>
            </w:pPr>
            <w:r>
              <w:rPr>
                <w:color w:val="1A1A2E"/>
                <w:sz w:val="18"/>
                <w:szCs w:val="18"/>
              </w:rPr>
              <w:t>.661</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A5D4BCC" w14:textId="77777777" w:rsidR="003151A7" w:rsidRDefault="00000000">
            <w:pPr>
              <w:spacing w:line="340" w:lineRule="auto"/>
              <w:jc w:val="center"/>
            </w:pPr>
            <w:r>
              <w:rPr>
                <w:color w:val="1A1A2E"/>
                <w:sz w:val="18"/>
                <w:szCs w:val="18"/>
              </w:rPr>
              <w:t>+0.021</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831AB9F" w14:textId="77777777" w:rsidR="003151A7" w:rsidRDefault="00000000">
            <w:pPr>
              <w:spacing w:line="340" w:lineRule="auto"/>
              <w:jc w:val="center"/>
            </w:pPr>
            <w:r>
              <w:rPr>
                <w:color w:val="1A1A2E"/>
                <w:sz w:val="18"/>
                <w:szCs w:val="18"/>
              </w:rPr>
              <w:t>.983</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491DCC9" w14:textId="77777777" w:rsidR="003151A7" w:rsidRDefault="00000000">
            <w:pPr>
              <w:spacing w:line="340" w:lineRule="auto"/>
              <w:jc w:val="center"/>
            </w:pPr>
            <w:r>
              <w:rPr>
                <w:color w:val="1A1A2E"/>
                <w:sz w:val="18"/>
                <w:szCs w:val="18"/>
              </w:rPr>
              <w:t>+0.903</w:t>
            </w:r>
          </w:p>
        </w:tc>
        <w:tc>
          <w:tcPr>
            <w:tcW w:w="9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ACFE5AE" w14:textId="77777777" w:rsidR="003151A7" w:rsidRDefault="00000000">
            <w:pPr>
              <w:spacing w:line="340" w:lineRule="auto"/>
              <w:jc w:val="center"/>
            </w:pPr>
            <w:r>
              <w:rPr>
                <w:color w:val="1A1A2E"/>
                <w:sz w:val="18"/>
                <w:szCs w:val="18"/>
              </w:rPr>
              <w:t>.339</w:t>
            </w:r>
          </w:p>
        </w:tc>
        <w:tc>
          <w:tcPr>
            <w:tcW w:w="13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4AB3C2B" w14:textId="77777777" w:rsidR="003151A7" w:rsidRDefault="00000000">
            <w:pPr>
              <w:spacing w:line="340" w:lineRule="auto"/>
            </w:pPr>
            <w:r>
              <w:rPr>
                <w:color w:val="1A1A2E"/>
                <w:sz w:val="16"/>
                <w:szCs w:val="16"/>
              </w:rPr>
              <w:t>Not significantly different from General Academic schools after other controls.</w:t>
            </w:r>
          </w:p>
        </w:tc>
      </w:tr>
      <w:tr w:rsidR="003151A7" w14:paraId="58FF09EA"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1CA40621" w14:textId="77777777" w:rsidR="003151A7" w:rsidRDefault="00000000">
            <w:pPr>
              <w:spacing w:line="340" w:lineRule="auto"/>
            </w:pPr>
            <w:r>
              <w:rPr>
                <w:b/>
                <w:bCs/>
                <w:color w:val="1A56C4"/>
                <w:sz w:val="18"/>
                <w:szCs w:val="18"/>
              </w:rPr>
              <w:t>NEQ policy index  γ₀₁</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B8BEB5D" w14:textId="77777777" w:rsidR="003151A7" w:rsidRDefault="00000000">
            <w:pPr>
              <w:spacing w:line="340" w:lineRule="auto"/>
              <w:jc w:val="center"/>
            </w:pPr>
            <w:r>
              <w:rPr>
                <w:b/>
                <w:bCs/>
                <w:color w:val="1A56C4"/>
                <w:sz w:val="18"/>
                <w:szCs w:val="18"/>
              </w:rPr>
              <w:t>0.275</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21D144A6" w14:textId="77777777" w:rsidR="003151A7" w:rsidRDefault="00000000">
            <w:pPr>
              <w:spacing w:line="340" w:lineRule="auto"/>
              <w:jc w:val="center"/>
            </w:pPr>
            <w:r>
              <w:rPr>
                <w:b/>
                <w:bCs/>
                <w:color w:val="1A56C4"/>
                <w:sz w:val="18"/>
                <w:szCs w:val="18"/>
              </w:rPr>
              <w:t>.368</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443636D" w14:textId="77777777" w:rsidR="003151A7" w:rsidRDefault="00000000">
            <w:pPr>
              <w:spacing w:line="340" w:lineRule="auto"/>
              <w:jc w:val="center"/>
            </w:pPr>
            <w:r>
              <w:rPr>
                <w:b/>
                <w:bCs/>
                <w:color w:val="1A56C4"/>
                <w:sz w:val="18"/>
                <w:szCs w:val="18"/>
              </w:rPr>
              <w:t>+1.180</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84A459B" w14:textId="77777777" w:rsidR="003151A7" w:rsidRDefault="00000000">
            <w:pPr>
              <w:spacing w:line="340" w:lineRule="auto"/>
              <w:jc w:val="center"/>
            </w:pPr>
            <w:r>
              <w:rPr>
                <w:b/>
                <w:bCs/>
                <w:color w:val="1A56C4"/>
                <w:sz w:val="18"/>
                <w:szCs w:val="18"/>
              </w:rPr>
              <w:t>.003</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345D32A3" w14:textId="77777777" w:rsidR="003151A7" w:rsidRDefault="00000000">
            <w:pPr>
              <w:spacing w:line="340" w:lineRule="auto"/>
              <w:jc w:val="center"/>
            </w:pPr>
            <w:r>
              <w:rPr>
                <w:b/>
                <w:bCs/>
                <w:color w:val="1A56C4"/>
                <w:sz w:val="18"/>
                <w:szCs w:val="18"/>
              </w:rPr>
              <w:t>+0.931</w:t>
            </w:r>
          </w:p>
        </w:tc>
        <w:tc>
          <w:tcPr>
            <w:tcW w:w="9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66C5D32" w14:textId="77777777" w:rsidR="003151A7" w:rsidRDefault="00000000">
            <w:pPr>
              <w:spacing w:line="340" w:lineRule="auto"/>
              <w:jc w:val="center"/>
            </w:pPr>
            <w:r>
              <w:rPr>
                <w:b/>
                <w:bCs/>
                <w:color w:val="1A56C4"/>
                <w:sz w:val="18"/>
                <w:szCs w:val="18"/>
              </w:rPr>
              <w:t>.004</w:t>
            </w:r>
          </w:p>
        </w:tc>
        <w:tc>
          <w:tcPr>
            <w:tcW w:w="136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36403A08" w14:textId="77777777" w:rsidR="003151A7" w:rsidRDefault="00000000">
            <w:pPr>
              <w:spacing w:line="340" w:lineRule="auto"/>
            </w:pPr>
            <w:r>
              <w:rPr>
                <w:b/>
                <w:bCs/>
                <w:color w:val="1A56C4"/>
                <w:sz w:val="16"/>
                <w:szCs w:val="16"/>
              </w:rPr>
              <w:t>The central finding. Zoning-based policy context independently predicts ELA and Living Environment school baselines after all Level 1 compositional controls.</w:t>
            </w:r>
          </w:p>
        </w:tc>
      </w:tr>
    </w:tbl>
    <w:p w14:paraId="4B2C3B03" w14:textId="77777777" w:rsidR="003151A7" w:rsidRDefault="003151A7">
      <w:pPr>
        <w:spacing w:after="80"/>
      </w:pPr>
    </w:p>
    <w:p w14:paraId="7AE0B63B" w14:textId="77777777" w:rsidR="003151A7" w:rsidRDefault="00000000">
      <w:pPr>
        <w:spacing w:after="160" w:line="340" w:lineRule="auto"/>
      </w:pPr>
      <w:r>
        <w:rPr>
          <w:b/>
          <w:bCs/>
          <w:i/>
          <w:iCs/>
          <w:color w:val="64748B"/>
          <w:sz w:val="18"/>
          <w:szCs w:val="18"/>
        </w:rPr>
        <w:lastRenderedPageBreak/>
        <w:t xml:space="preserve">Note. </w:t>
      </w:r>
      <w:r>
        <w:rPr>
          <w:i/>
          <w:iCs/>
          <w:color w:val="64748B"/>
          <w:sz w:val="18"/>
          <w:szCs w:val="18"/>
        </w:rPr>
        <w:t>β = score-point change per 1 SD shift (z-scored predictors). NEQ (γ₀₁) is the Level 2 coefficient — it predicts the community district intercept β₀j. Green = statistically significant. Yellow = trending. Interpretation column reflects the theoretical framing in the prospectus literature review.</w:t>
      </w:r>
    </w:p>
    <w:p w14:paraId="19BBF4F7" w14:textId="77777777" w:rsidR="003151A7" w:rsidRDefault="003151A7">
      <w:pPr>
        <w:spacing w:after="120"/>
      </w:pPr>
    </w:p>
    <w:p w14:paraId="5AB16133" w14:textId="77777777" w:rsidR="003151A7" w:rsidRDefault="00000000">
      <w:pPr>
        <w:pStyle w:val="Heading2"/>
      </w:pPr>
      <w:r>
        <w:t>4.3  Stability of Level 2 effects across disciplines</w:t>
      </w:r>
    </w:p>
    <w:p w14:paraId="61EAC794" w14:textId="77777777" w:rsidR="003151A7" w:rsidRDefault="00000000">
      <w:pPr>
        <w:spacing w:after="180" w:line="400" w:lineRule="auto"/>
      </w:pPr>
      <w:r>
        <w:rPr>
          <w:b/>
          <w:bCs/>
          <w:color w:val="1A1A2E"/>
          <w:sz w:val="21"/>
          <w:szCs w:val="21"/>
        </w:rPr>
        <w:t xml:space="preserve">Algebra I: </w:t>
      </w:r>
      <w:r>
        <w:rPr>
          <w:color w:val="1A1A2E"/>
          <w:sz w:val="21"/>
          <w:szCs w:val="21"/>
        </w:rPr>
        <w:t>Level 1 factors explain 97.1% of between-neighborhood variation. The NEQ policy context index adds no independent signal (γ₀₁ = +0.275, ns, p = .368). Between-neighborhood variation in math performance is fully accounted for by school-level composition and organization. This is consistent with Bryk, Lee &amp; Holland (1993): instruction-dependent outcomes are less sensitive to community context.</w:t>
      </w:r>
    </w:p>
    <w:p w14:paraId="06F761BE" w14:textId="77777777" w:rsidR="003151A7" w:rsidRDefault="00000000">
      <w:pPr>
        <w:spacing w:after="180" w:line="400" w:lineRule="auto"/>
      </w:pPr>
      <w:r>
        <w:rPr>
          <w:b/>
          <w:bCs/>
          <w:color w:val="1A1A2E"/>
          <w:sz w:val="21"/>
          <w:szCs w:val="21"/>
        </w:rPr>
        <w:t xml:space="preserve">ELA: </w:t>
      </w:r>
      <w:r>
        <w:rPr>
          <w:color w:val="1A1A2E"/>
          <w:sz w:val="21"/>
          <w:szCs w:val="21"/>
        </w:rPr>
        <w:t>Level 1 explains 78.8%, leaving 21.2% of between-neighborhood variation unaccounted for. The NEQ policy context index explains a significant additional 5.6% of that residual (γ₀₁ = +1.18, p = .003). Language arts performance is measurably associated with the zoning policy context of the surrounding community district, beyond what school-level factors explain.</w:t>
      </w:r>
    </w:p>
    <w:p w14:paraId="5B6D7BDB" w14:textId="77777777" w:rsidR="003151A7" w:rsidRDefault="00000000">
      <w:pPr>
        <w:spacing w:after="180" w:line="400" w:lineRule="auto"/>
      </w:pPr>
      <w:r>
        <w:rPr>
          <w:b/>
          <w:bCs/>
          <w:color w:val="1A1A2E"/>
          <w:sz w:val="21"/>
          <w:szCs w:val="21"/>
        </w:rPr>
        <w:t xml:space="preserve">Living Environment: </w:t>
      </w:r>
      <w:r>
        <w:rPr>
          <w:color w:val="1A1A2E"/>
          <w:sz w:val="21"/>
          <w:szCs w:val="21"/>
        </w:rPr>
        <w:t>Level 1 explains 95.2%, leaving 4.8% residual. NEQ explains 1.6% of it (γ₀₁ = +0.93, p = .004). A smaller but statistically robust policy context association. Science outcomes, like ELA, are associated with community district context beyond school composition.</w:t>
      </w:r>
    </w:p>
    <w:p w14:paraId="1235657D"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3151A7" w14:paraId="12080D9B" w14:textId="77777777">
        <w:tblPrEx>
          <w:tblCellMar>
            <w:top w:w="0" w:type="dxa"/>
            <w:bottom w:w="0" w:type="dxa"/>
          </w:tblCellMar>
        </w:tblPrEx>
        <w:tc>
          <w:tcPr>
            <w:tcW w:w="200" w:type="dxa"/>
            <w:tcBorders>
              <w:top w:val="none" w:sz="0" w:space="0" w:color="FFFFFF"/>
              <w:left w:val="none" w:sz="0" w:space="0" w:color="FFFFFF"/>
              <w:bottom w:val="none" w:sz="0" w:space="0" w:color="FFFFFF"/>
              <w:right w:val="single" w:sz="20" w:space="0" w:color="7A4F00"/>
            </w:tcBorders>
            <w:shd w:val="clear" w:color="auto" w:fill="FEF7E0"/>
          </w:tcPr>
          <w:p w14:paraId="25833997" w14:textId="77777777" w:rsidR="003151A7" w:rsidRDefault="003151A7"/>
        </w:tc>
        <w:tc>
          <w:tcPr>
            <w:tcW w:w="9160" w:type="dxa"/>
            <w:tcBorders>
              <w:top w:val="none" w:sz="0" w:space="0" w:color="FFFFFF"/>
              <w:left w:val="none" w:sz="0" w:space="0" w:color="FFFFFF"/>
              <w:bottom w:val="none" w:sz="0" w:space="0" w:color="FFFFFF"/>
              <w:right w:val="none" w:sz="0" w:space="0" w:color="FFFFFF"/>
            </w:tcBorders>
            <w:shd w:val="clear" w:color="auto" w:fill="FEF7E0"/>
            <w:tcMar>
              <w:top w:w="140" w:type="dxa"/>
              <w:left w:w="220" w:type="dxa"/>
              <w:bottom w:w="140" w:type="dxa"/>
              <w:right w:w="220" w:type="dxa"/>
            </w:tcMar>
          </w:tcPr>
          <w:p w14:paraId="36450CC7" w14:textId="77777777" w:rsidR="003151A7" w:rsidRDefault="00000000">
            <w:pPr>
              <w:spacing w:line="380" w:lineRule="auto"/>
            </w:pPr>
            <w:r>
              <w:rPr>
                <w:color w:val="1A1A2E"/>
                <w:sz w:val="20"/>
                <w:szCs w:val="20"/>
              </w:rPr>
              <w:t>The cross-subject pattern is directly consistent with the prospectus hypothesis: policy context variables (zoning density, land use mix) are hypothesized to shape the out-of-school learning environment — the community resources, language ecology, and economic activity that students encounter outside school. These conditions are more directly relevant to language arts and science outcomes than to mathematics, which is more tightly coupled to in-school instruction.</w:t>
            </w:r>
          </w:p>
        </w:tc>
      </w:tr>
    </w:tbl>
    <w:p w14:paraId="59FEA895" w14:textId="77777777" w:rsidR="003151A7" w:rsidRDefault="003151A7">
      <w:pPr>
        <w:spacing w:after="160"/>
      </w:pPr>
    </w:p>
    <w:p w14:paraId="19963B97" w14:textId="77777777" w:rsidR="003151A7" w:rsidRDefault="00000000">
      <w:pPr>
        <w:pStyle w:val="Heading1"/>
      </w:pPr>
      <w:r>
        <w:t>5.  Validation and Robustness</w:t>
      </w:r>
    </w:p>
    <w:p w14:paraId="3378D311" w14:textId="77777777" w:rsidR="003151A7" w:rsidRDefault="003151A7">
      <w:pPr>
        <w:pBdr>
          <w:bottom w:val="single" w:sz="6" w:space="1" w:color="1A56C4"/>
        </w:pBdr>
        <w:spacing w:before="60" w:after="60"/>
      </w:pPr>
    </w:p>
    <w:p w14:paraId="3D460A65" w14:textId="77777777" w:rsidR="003151A7" w:rsidRDefault="003151A7">
      <w:pPr>
        <w:spacing w:after="80"/>
      </w:pPr>
    </w:p>
    <w:p w14:paraId="430988A7" w14:textId="77777777" w:rsidR="003151A7" w:rsidRDefault="00000000">
      <w:pPr>
        <w:pStyle w:val="Heading2"/>
      </w:pPr>
      <w:r>
        <w:t>5.1  Temporal replication — 2022 and 2024</w:t>
      </w:r>
    </w:p>
    <w:p w14:paraId="5FCC3ED7" w14:textId="77777777" w:rsidR="003151A7" w:rsidRDefault="00000000">
      <w:pPr>
        <w:spacing w:after="180" w:line="400" w:lineRule="auto"/>
      </w:pPr>
      <w:r>
        <w:rPr>
          <w:color w:val="1A1A2E"/>
          <w:sz w:val="21"/>
          <w:szCs w:val="21"/>
        </w:rPr>
        <w:t xml:space="preserve">The identical three-model sequence was run on 2022 data. The 2022 dataset is the first full post-COVID testing year — expected to show elevated between-school instability relative to 2023. The directional replication criterion: </w:t>
        <w:lastRenderedPageBreak/>
        <w:t>all six NEQ coefficients (three exams × two years) should be positive, as a consistent directional signal across years constitutes meaningful evidence even when formal significance is attenuated.</w:t>
      </w:r>
    </w:p>
    <w:p w14:paraId="3993A595" w14:textId="77777777" w:rsidR="003151A7" w:rsidRDefault="003151A7">
      <w:pPr>
        <w:spacing w:after="80"/>
      </w:pPr>
    </w:p>
    <w:p w14:paraId="7044190C" w14:textId="77777777" w:rsidR="003151A7" w:rsidRDefault="00000000">
      <w:pPr>
        <w:spacing w:after="100" w:line="400" w:lineRule="auto"/>
      </w:pPr>
      <w:r>
        <w:rPr>
          <w:b/>
          <w:bCs/>
          <w:color w:val="1A1A2E"/>
          <w:sz w:val="20"/>
          <w:szCs w:val="20"/>
        </w:rPr>
        <w:t xml:space="preserve">Table 3.  </w:t>
      </w:r>
      <w:r>
        <w:rPr>
          <w:i/>
          <w:iCs/>
          <w:color w:val="1A1A2E"/>
          <w:sz w:val="20"/>
          <w:szCs w:val="20"/>
        </w:rPr>
        <w:t>2023 primary vs. 2022 replication — policy context (NEQ γ₀₁)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1069"/>
        <w:gridCol w:w="1069"/>
        <w:gridCol w:w="1069"/>
        <w:gridCol w:w="1069"/>
        <w:gridCol w:w="1069"/>
        <w:gridCol w:w="1069"/>
      </w:tblGrid>
      <w:tr w:rsidR="003151A7" w14:paraId="0E0B976E"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7F81CBFB" w14:textId="77777777" w:rsidR="003151A7" w:rsidRDefault="003151A7">
            <w:pPr>
              <w:spacing w:line="340" w:lineRule="auto"/>
            </w:pP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17B484E" w14:textId="77777777" w:rsidR="003151A7" w:rsidRDefault="00000000">
            <w:pPr>
              <w:spacing w:line="340" w:lineRule="auto"/>
              <w:jc w:val="center"/>
            </w:pPr>
            <w:r>
              <w:rPr>
                <w:b/>
                <w:bCs/>
                <w:color w:val="FFFFFF"/>
                <w:sz w:val="17"/>
                <w:szCs w:val="17"/>
              </w:rPr>
              <w:t>Algebra I</w:t>
            </w: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191B65F" w14:textId="77777777" w:rsidR="003151A7" w:rsidRDefault="003151A7">
            <w:pPr>
              <w:spacing w:line="340" w:lineRule="auto"/>
              <w:jc w:val="center"/>
            </w:pP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2E0E32C7" w14:textId="77777777" w:rsidR="003151A7" w:rsidRDefault="00000000">
            <w:pPr>
              <w:spacing w:line="340" w:lineRule="auto"/>
              <w:jc w:val="center"/>
            </w:pPr>
            <w:r>
              <w:rPr>
                <w:b/>
                <w:bCs/>
                <w:color w:val="FFFFFF"/>
                <w:sz w:val="17"/>
                <w:szCs w:val="17"/>
              </w:rPr>
              <w:t>ELA</w:t>
            </w: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1BED515" w14:textId="77777777" w:rsidR="003151A7" w:rsidRDefault="003151A7">
            <w:pPr>
              <w:spacing w:line="340" w:lineRule="auto"/>
              <w:jc w:val="center"/>
            </w:pP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10169D6" w14:textId="77777777" w:rsidR="003151A7" w:rsidRDefault="00000000">
            <w:pPr>
              <w:spacing w:line="340" w:lineRule="auto"/>
              <w:jc w:val="center"/>
            </w:pPr>
            <w:r>
              <w:rPr>
                <w:b/>
                <w:bCs/>
                <w:color w:val="FFFFFF"/>
                <w:sz w:val="17"/>
                <w:szCs w:val="17"/>
              </w:rPr>
              <w:t>Living Env</w:t>
            </w:r>
          </w:p>
        </w:tc>
        <w:tc>
          <w:tcPr>
            <w:tcW w:w="9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E45FD19" w14:textId="77777777" w:rsidR="003151A7" w:rsidRDefault="003151A7">
            <w:pPr>
              <w:spacing w:line="340" w:lineRule="auto"/>
              <w:jc w:val="center"/>
            </w:pPr>
          </w:p>
        </w:tc>
      </w:tr>
      <w:tr w:rsidR="003151A7" w14:paraId="30BD55A2"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6DBD0770" w14:textId="77777777" w:rsidR="003151A7" w:rsidRDefault="003151A7">
            <w:pPr>
              <w:spacing w:line="340" w:lineRule="auto"/>
            </w:pP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07D34189" w14:textId="77777777" w:rsidR="003151A7" w:rsidRDefault="00000000">
            <w:pPr>
              <w:spacing w:line="340" w:lineRule="auto"/>
              <w:jc w:val="center"/>
            </w:pPr>
            <w:r>
              <w:rPr>
                <w:b/>
                <w:bCs/>
                <w:color w:val="FFFFFF"/>
                <w:sz w:val="17"/>
                <w:szCs w:val="17"/>
              </w:rPr>
              <w:t>2023</w:t>
            </w: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4E85E356" w14:textId="77777777" w:rsidR="003151A7" w:rsidRDefault="00000000">
            <w:pPr>
              <w:spacing w:line="340" w:lineRule="auto"/>
              <w:jc w:val="center"/>
            </w:pPr>
            <w:r>
              <w:rPr>
                <w:b/>
                <w:bCs/>
                <w:color w:val="FFFFFF"/>
                <w:sz w:val="17"/>
                <w:szCs w:val="17"/>
              </w:rPr>
              <w:t>2022</w:t>
            </w: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016F276C" w14:textId="77777777" w:rsidR="003151A7" w:rsidRDefault="00000000">
            <w:pPr>
              <w:spacing w:line="340" w:lineRule="auto"/>
              <w:jc w:val="center"/>
            </w:pPr>
            <w:r>
              <w:rPr>
                <w:b/>
                <w:bCs/>
                <w:color w:val="FFFFFF"/>
                <w:sz w:val="17"/>
                <w:szCs w:val="17"/>
              </w:rPr>
              <w:t>2023</w:t>
            </w: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20481129" w14:textId="77777777" w:rsidR="003151A7" w:rsidRDefault="00000000">
            <w:pPr>
              <w:spacing w:line="340" w:lineRule="auto"/>
              <w:jc w:val="center"/>
            </w:pPr>
            <w:r>
              <w:rPr>
                <w:b/>
                <w:bCs/>
                <w:color w:val="FFFFFF"/>
                <w:sz w:val="17"/>
                <w:szCs w:val="17"/>
              </w:rPr>
              <w:t>2022</w:t>
            </w: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07C70AD8" w14:textId="77777777" w:rsidR="003151A7" w:rsidRDefault="00000000">
            <w:pPr>
              <w:spacing w:line="340" w:lineRule="auto"/>
              <w:jc w:val="center"/>
            </w:pPr>
            <w:r>
              <w:rPr>
                <w:b/>
                <w:bCs/>
                <w:color w:val="FFFFFF"/>
                <w:sz w:val="17"/>
                <w:szCs w:val="17"/>
              </w:rPr>
              <w:t>2023</w:t>
            </w:r>
          </w:p>
        </w:tc>
        <w:tc>
          <w:tcPr>
            <w:tcW w:w="980" w:type="dxa"/>
            <w:tcBorders>
              <w:top w:val="single" w:sz="1" w:space="0" w:color="D1D9E8"/>
              <w:left w:val="single" w:sz="1" w:space="0" w:color="D1D9E8"/>
              <w:bottom w:val="single" w:sz="1" w:space="0" w:color="D1D9E8"/>
              <w:right w:val="single" w:sz="1" w:space="0" w:color="D1D9E8"/>
            </w:tcBorders>
            <w:shd w:val="clear" w:color="auto" w:fill="1E3A8A"/>
            <w:tcMar>
              <w:top w:w="100" w:type="dxa"/>
              <w:left w:w="140" w:type="dxa"/>
              <w:bottom w:w="100" w:type="dxa"/>
              <w:right w:w="140" w:type="dxa"/>
            </w:tcMar>
            <w:vAlign w:val="center"/>
          </w:tcPr>
          <w:p w14:paraId="79F7C13E" w14:textId="77777777" w:rsidR="003151A7" w:rsidRDefault="00000000">
            <w:pPr>
              <w:spacing w:line="340" w:lineRule="auto"/>
              <w:jc w:val="center"/>
            </w:pPr>
            <w:r>
              <w:rPr>
                <w:b/>
                <w:bCs/>
                <w:color w:val="FFFFFF"/>
                <w:sz w:val="17"/>
                <w:szCs w:val="17"/>
              </w:rPr>
              <w:t>2022</w:t>
            </w:r>
          </w:p>
        </w:tc>
      </w:tr>
      <w:tr w:rsidR="003151A7" w14:paraId="6ADDD60E"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A8AEB82" w14:textId="77777777" w:rsidR="003151A7" w:rsidRDefault="00000000">
            <w:pPr>
              <w:spacing w:line="340" w:lineRule="auto"/>
            </w:pPr>
            <w:r>
              <w:rPr>
                <w:color w:val="1A1A2E"/>
                <w:sz w:val="18"/>
                <w:szCs w:val="18"/>
              </w:rPr>
              <w:t>N schools</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E79DB40" w14:textId="77777777" w:rsidR="003151A7" w:rsidRDefault="00000000">
            <w:pPr>
              <w:spacing w:line="340" w:lineRule="auto"/>
              <w:jc w:val="center"/>
            </w:pPr>
            <w:r>
              <w:rPr>
                <w:color w:val="1A1A2E"/>
                <w:sz w:val="18"/>
                <w:szCs w:val="18"/>
              </w:rPr>
              <w:t>371</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3DD1E36" w14:textId="77777777" w:rsidR="003151A7" w:rsidRDefault="00000000">
            <w:pPr>
              <w:spacing w:line="340" w:lineRule="auto"/>
              <w:jc w:val="center"/>
            </w:pPr>
            <w:r>
              <w:rPr>
                <w:color w:val="1A1A2E"/>
                <w:sz w:val="18"/>
                <w:szCs w:val="18"/>
              </w:rPr>
              <w:t>344</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4DCD01C" w14:textId="77777777" w:rsidR="003151A7" w:rsidRDefault="00000000">
            <w:pPr>
              <w:spacing w:line="340" w:lineRule="auto"/>
              <w:jc w:val="center"/>
            </w:pPr>
            <w:r>
              <w:rPr>
                <w:color w:val="1A1A2E"/>
                <w:sz w:val="18"/>
                <w:szCs w:val="18"/>
              </w:rPr>
              <w:t>400</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628C1DB" w14:textId="77777777" w:rsidR="003151A7" w:rsidRDefault="00000000">
            <w:pPr>
              <w:spacing w:line="340" w:lineRule="auto"/>
              <w:jc w:val="center"/>
            </w:pPr>
            <w:r>
              <w:rPr>
                <w:color w:val="1A1A2E"/>
                <w:sz w:val="18"/>
                <w:szCs w:val="18"/>
              </w:rPr>
              <w:t>345</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4A18F73" w14:textId="77777777" w:rsidR="003151A7" w:rsidRDefault="00000000">
            <w:pPr>
              <w:spacing w:line="340" w:lineRule="auto"/>
              <w:jc w:val="center"/>
            </w:pPr>
            <w:r>
              <w:rPr>
                <w:color w:val="1A1A2E"/>
                <w:sz w:val="18"/>
                <w:szCs w:val="18"/>
              </w:rPr>
              <w:t>359</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5092504" w14:textId="77777777" w:rsidR="003151A7" w:rsidRDefault="00000000">
            <w:pPr>
              <w:spacing w:line="340" w:lineRule="auto"/>
              <w:jc w:val="center"/>
            </w:pPr>
            <w:r>
              <w:rPr>
                <w:color w:val="1A1A2E"/>
                <w:sz w:val="18"/>
                <w:szCs w:val="18"/>
              </w:rPr>
              <w:t>336</w:t>
            </w:r>
          </w:p>
        </w:tc>
      </w:tr>
      <w:tr w:rsidR="003151A7" w14:paraId="203FB148"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B69BB7D" w14:textId="77777777" w:rsidR="003151A7" w:rsidRDefault="00000000">
            <w:pPr>
              <w:spacing w:line="340" w:lineRule="auto"/>
            </w:pPr>
            <w:r>
              <w:rPr>
                <w:color w:val="1A1A2E"/>
                <w:sz w:val="18"/>
                <w:szCs w:val="18"/>
              </w:rPr>
              <w:t>Grand mean</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24A938A" w14:textId="77777777" w:rsidR="003151A7" w:rsidRDefault="00000000">
            <w:pPr>
              <w:spacing w:line="340" w:lineRule="auto"/>
              <w:jc w:val="center"/>
            </w:pPr>
            <w:r>
              <w:rPr>
                <w:color w:val="1A1A2E"/>
                <w:sz w:val="18"/>
                <w:szCs w:val="18"/>
              </w:rPr>
              <w:t>62.26</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20AC28B" w14:textId="77777777" w:rsidR="003151A7" w:rsidRDefault="00000000">
            <w:pPr>
              <w:spacing w:line="340" w:lineRule="auto"/>
              <w:jc w:val="center"/>
            </w:pPr>
            <w:r>
              <w:rPr>
                <w:color w:val="1A1A2E"/>
                <w:sz w:val="18"/>
                <w:szCs w:val="18"/>
              </w:rPr>
              <w:t>61.8</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1D604D2" w14:textId="77777777" w:rsidR="003151A7" w:rsidRDefault="00000000">
            <w:pPr>
              <w:spacing w:line="340" w:lineRule="auto"/>
              <w:jc w:val="center"/>
            </w:pPr>
            <w:r>
              <w:rPr>
                <w:color w:val="1A1A2E"/>
                <w:sz w:val="18"/>
                <w:szCs w:val="18"/>
              </w:rPr>
              <w:t>69.39</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3A83D137" w14:textId="77777777" w:rsidR="003151A7" w:rsidRDefault="00000000">
            <w:pPr>
              <w:spacing w:line="340" w:lineRule="auto"/>
              <w:jc w:val="center"/>
            </w:pPr>
            <w:r>
              <w:rPr>
                <w:color w:val="1A1A2E"/>
                <w:sz w:val="18"/>
                <w:szCs w:val="18"/>
              </w:rPr>
              <w:t>68.1</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DFDF096" w14:textId="77777777" w:rsidR="003151A7" w:rsidRDefault="00000000">
            <w:pPr>
              <w:spacing w:line="340" w:lineRule="auto"/>
              <w:jc w:val="center"/>
            </w:pPr>
            <w:r>
              <w:rPr>
                <w:color w:val="1A1A2E"/>
                <w:sz w:val="18"/>
                <w:szCs w:val="18"/>
              </w:rPr>
              <w:t>63.11</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4203A0E1" w14:textId="77777777" w:rsidR="003151A7" w:rsidRDefault="00000000">
            <w:pPr>
              <w:spacing w:line="340" w:lineRule="auto"/>
              <w:jc w:val="center"/>
            </w:pPr>
            <w:r>
              <w:rPr>
                <w:color w:val="1A1A2E"/>
                <w:sz w:val="18"/>
                <w:szCs w:val="18"/>
              </w:rPr>
              <w:t>62.4</w:t>
            </w:r>
          </w:p>
        </w:tc>
      </w:tr>
      <w:tr w:rsidR="003151A7" w14:paraId="3E3B0B84"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680CCF4" w14:textId="77777777" w:rsidR="003151A7" w:rsidRDefault="00000000">
            <w:pPr>
              <w:spacing w:line="340" w:lineRule="auto"/>
            </w:pPr>
            <w:r>
              <w:rPr>
                <w:color w:val="1A1A2E"/>
                <w:sz w:val="18"/>
                <w:szCs w:val="18"/>
              </w:rPr>
              <w:t>ICC</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6439683" w14:textId="77777777" w:rsidR="003151A7" w:rsidRDefault="00000000">
            <w:pPr>
              <w:spacing w:line="340" w:lineRule="auto"/>
              <w:jc w:val="center"/>
            </w:pPr>
            <w:r>
              <w:rPr>
                <w:color w:val="1A1A2E"/>
                <w:sz w:val="18"/>
                <w:szCs w:val="18"/>
              </w:rPr>
              <w:t>11.1%</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9F212AD" w14:textId="77777777" w:rsidR="003151A7" w:rsidRDefault="00000000">
            <w:pPr>
              <w:spacing w:line="340" w:lineRule="auto"/>
              <w:jc w:val="center"/>
            </w:pPr>
            <w:r>
              <w:rPr>
                <w:color w:val="1A1A2E"/>
                <w:sz w:val="18"/>
                <w:szCs w:val="18"/>
              </w:rPr>
              <w:t>21.4%</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6C3770D" w14:textId="77777777" w:rsidR="003151A7" w:rsidRDefault="00000000">
            <w:pPr>
              <w:spacing w:line="340" w:lineRule="auto"/>
              <w:jc w:val="center"/>
            </w:pPr>
            <w:r>
              <w:rPr>
                <w:color w:val="1A1A2E"/>
                <w:sz w:val="18"/>
                <w:szCs w:val="18"/>
              </w:rPr>
              <w:t>21.4%</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3BAFF79" w14:textId="77777777" w:rsidR="003151A7" w:rsidRDefault="00000000">
            <w:pPr>
              <w:spacing w:line="340" w:lineRule="auto"/>
              <w:jc w:val="center"/>
            </w:pPr>
            <w:r>
              <w:rPr>
                <w:color w:val="1A1A2E"/>
                <w:sz w:val="18"/>
                <w:szCs w:val="18"/>
              </w:rPr>
              <w:t>12.8%</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7E77EF3" w14:textId="77777777" w:rsidR="003151A7" w:rsidRDefault="00000000">
            <w:pPr>
              <w:spacing w:line="340" w:lineRule="auto"/>
              <w:jc w:val="center"/>
            </w:pPr>
            <w:r>
              <w:rPr>
                <w:color w:val="1A1A2E"/>
                <w:sz w:val="18"/>
                <w:szCs w:val="18"/>
              </w:rPr>
              <w:t>21.2%</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6FE20BE" w14:textId="77777777" w:rsidR="003151A7" w:rsidRDefault="00000000">
            <w:pPr>
              <w:spacing w:line="340" w:lineRule="auto"/>
              <w:jc w:val="center"/>
            </w:pPr>
            <w:r>
              <w:rPr>
                <w:color w:val="1A1A2E"/>
                <w:sz w:val="18"/>
                <w:szCs w:val="18"/>
              </w:rPr>
              <w:t>23.6%</w:t>
            </w:r>
          </w:p>
        </w:tc>
      </w:tr>
      <w:tr w:rsidR="003151A7" w14:paraId="66ADAA14"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A358F68" w14:textId="77777777" w:rsidR="003151A7" w:rsidRDefault="00000000">
            <w:pPr>
              <w:spacing w:line="340" w:lineRule="auto"/>
            </w:pPr>
            <w:r>
              <w:rPr>
                <w:color w:val="1A1A2E"/>
                <w:sz w:val="18"/>
                <w:szCs w:val="18"/>
              </w:rPr>
              <w:t>L1 explains</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3CB7B6B" w14:textId="77777777" w:rsidR="003151A7" w:rsidRDefault="00000000">
            <w:pPr>
              <w:spacing w:line="340" w:lineRule="auto"/>
              <w:jc w:val="center"/>
            </w:pPr>
            <w:r>
              <w:rPr>
                <w:color w:val="1A1A2E"/>
                <w:sz w:val="18"/>
                <w:szCs w:val="18"/>
              </w:rPr>
              <w:t>97.1%</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04AB4C6" w14:textId="77777777" w:rsidR="003151A7" w:rsidRDefault="00000000">
            <w:pPr>
              <w:spacing w:line="340" w:lineRule="auto"/>
              <w:jc w:val="center"/>
            </w:pPr>
            <w:r>
              <w:rPr>
                <w:color w:val="1A1A2E"/>
                <w:sz w:val="18"/>
                <w:szCs w:val="18"/>
              </w:rPr>
              <w:t>81.5%</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2D060857" w14:textId="77777777" w:rsidR="003151A7" w:rsidRDefault="00000000">
            <w:pPr>
              <w:spacing w:line="340" w:lineRule="auto"/>
              <w:jc w:val="center"/>
            </w:pPr>
            <w:r>
              <w:rPr>
                <w:color w:val="1A1A2E"/>
                <w:sz w:val="18"/>
                <w:szCs w:val="18"/>
              </w:rPr>
              <w:t>78.8%</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B7AC779" w14:textId="77777777" w:rsidR="003151A7" w:rsidRDefault="00000000">
            <w:pPr>
              <w:spacing w:line="340" w:lineRule="auto"/>
              <w:jc w:val="center"/>
            </w:pPr>
            <w:r>
              <w:rPr>
                <w:color w:val="1A1A2E"/>
                <w:sz w:val="18"/>
                <w:szCs w:val="18"/>
              </w:rPr>
              <w:t>73.8%</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0434CF2" w14:textId="77777777" w:rsidR="003151A7" w:rsidRDefault="00000000">
            <w:pPr>
              <w:spacing w:line="340" w:lineRule="auto"/>
              <w:jc w:val="center"/>
            </w:pPr>
            <w:r>
              <w:rPr>
                <w:color w:val="1A1A2E"/>
                <w:sz w:val="18"/>
                <w:szCs w:val="18"/>
              </w:rPr>
              <w:t>95.2%</w:t>
            </w:r>
          </w:p>
        </w:tc>
        <w:tc>
          <w:tcPr>
            <w:tcW w:w="98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0EB872E" w14:textId="77777777" w:rsidR="003151A7" w:rsidRDefault="00000000">
            <w:pPr>
              <w:spacing w:line="340" w:lineRule="auto"/>
              <w:jc w:val="center"/>
            </w:pPr>
            <w:r>
              <w:rPr>
                <w:color w:val="1A1A2E"/>
                <w:sz w:val="18"/>
                <w:szCs w:val="18"/>
              </w:rPr>
              <w:t>99.1%</w:t>
            </w:r>
          </w:p>
        </w:tc>
      </w:tr>
      <w:tr w:rsidR="003151A7" w14:paraId="69557A4A"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F62AE37" w14:textId="77777777" w:rsidR="003151A7" w:rsidRDefault="00000000">
            <w:pPr>
              <w:spacing w:line="340" w:lineRule="auto"/>
            </w:pPr>
            <w:r>
              <w:rPr>
                <w:b/>
                <w:bCs/>
                <w:color w:val="1A1A2E"/>
                <w:sz w:val="18"/>
                <w:szCs w:val="18"/>
              </w:rPr>
              <w:t>NEQ γ₀₁</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7C236F7" w14:textId="77777777" w:rsidR="003151A7" w:rsidRDefault="00000000">
            <w:pPr>
              <w:spacing w:line="340" w:lineRule="auto"/>
              <w:jc w:val="center"/>
            </w:pPr>
            <w:r>
              <w:rPr>
                <w:b/>
                <w:bCs/>
                <w:color w:val="1A1A2E"/>
                <w:sz w:val="18"/>
                <w:szCs w:val="18"/>
              </w:rPr>
              <w:t>+0.275</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0C38A67" w14:textId="77777777" w:rsidR="003151A7" w:rsidRDefault="00000000">
            <w:pPr>
              <w:spacing w:line="340" w:lineRule="auto"/>
              <w:jc w:val="center"/>
            </w:pPr>
            <w:r>
              <w:rPr>
                <w:b/>
                <w:bCs/>
                <w:color w:val="1A1A2E"/>
                <w:sz w:val="18"/>
                <w:szCs w:val="18"/>
              </w:rPr>
              <w:t>+0.028</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18A1882F" w14:textId="77777777" w:rsidR="003151A7" w:rsidRDefault="00000000">
            <w:pPr>
              <w:spacing w:line="340" w:lineRule="auto"/>
              <w:jc w:val="center"/>
            </w:pPr>
            <w:r>
              <w:rPr>
                <w:b/>
                <w:bCs/>
                <w:color w:val="1A1A2E"/>
                <w:sz w:val="18"/>
                <w:szCs w:val="18"/>
              </w:rPr>
              <w:t>+1.180</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7F222CF" w14:textId="77777777" w:rsidR="003151A7" w:rsidRDefault="00000000">
            <w:pPr>
              <w:spacing w:line="340" w:lineRule="auto"/>
              <w:jc w:val="center"/>
            </w:pPr>
            <w:r>
              <w:rPr>
                <w:b/>
                <w:bCs/>
                <w:color w:val="1A1A2E"/>
                <w:sz w:val="18"/>
                <w:szCs w:val="18"/>
              </w:rPr>
              <w:t>+0.896</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6F2E075C" w14:textId="77777777" w:rsidR="003151A7" w:rsidRDefault="00000000">
            <w:pPr>
              <w:spacing w:line="340" w:lineRule="auto"/>
              <w:jc w:val="center"/>
            </w:pPr>
            <w:r>
              <w:rPr>
                <w:b/>
                <w:bCs/>
                <w:color w:val="1A1A2E"/>
                <w:sz w:val="18"/>
                <w:szCs w:val="18"/>
              </w:rPr>
              <w:t>+0.931</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3DD3C0C" w14:textId="77777777" w:rsidR="003151A7" w:rsidRDefault="00000000">
            <w:pPr>
              <w:spacing w:line="340" w:lineRule="auto"/>
              <w:jc w:val="center"/>
            </w:pPr>
            <w:r>
              <w:rPr>
                <w:b/>
                <w:bCs/>
                <w:color w:val="1A1A2E"/>
                <w:sz w:val="18"/>
                <w:szCs w:val="18"/>
              </w:rPr>
              <w:t>+0.624</w:t>
            </w:r>
          </w:p>
        </w:tc>
      </w:tr>
      <w:tr w:rsidR="003151A7" w14:paraId="499B6472"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F41523C" w14:textId="77777777" w:rsidR="003151A7" w:rsidRDefault="00000000">
            <w:pPr>
              <w:spacing w:line="340" w:lineRule="auto"/>
            </w:pPr>
            <w:r>
              <w:rPr>
                <w:b/>
                <w:bCs/>
                <w:color w:val="1A1A2E"/>
                <w:sz w:val="18"/>
                <w:szCs w:val="18"/>
              </w:rPr>
              <w:t>p-value</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7FC8A1B" w14:textId="77777777" w:rsidR="003151A7" w:rsidRDefault="00000000">
            <w:pPr>
              <w:spacing w:line="340" w:lineRule="auto"/>
              <w:jc w:val="center"/>
            </w:pPr>
            <w:r>
              <w:rPr>
                <w:b/>
                <w:bCs/>
                <w:color w:val="1A1A2E"/>
                <w:sz w:val="18"/>
                <w:szCs w:val="18"/>
              </w:rPr>
              <w:t>.368</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E4B2480" w14:textId="77777777" w:rsidR="003151A7" w:rsidRDefault="00000000">
            <w:pPr>
              <w:spacing w:line="340" w:lineRule="auto"/>
              <w:jc w:val="center"/>
            </w:pPr>
            <w:r>
              <w:rPr>
                <w:b/>
                <w:bCs/>
                <w:color w:val="1A1A2E"/>
                <w:sz w:val="18"/>
                <w:szCs w:val="18"/>
              </w:rPr>
              <w:t>.941</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3C3EB2F" w14:textId="77777777" w:rsidR="003151A7" w:rsidRDefault="00000000">
            <w:pPr>
              <w:spacing w:line="340" w:lineRule="auto"/>
              <w:jc w:val="center"/>
            </w:pPr>
            <w:r>
              <w:rPr>
                <w:b/>
                <w:bCs/>
                <w:color w:val="1A1A2E"/>
                <w:sz w:val="18"/>
                <w:szCs w:val="18"/>
              </w:rPr>
              <w:t>.003</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E225C1E" w14:textId="77777777" w:rsidR="003151A7" w:rsidRDefault="00000000">
            <w:pPr>
              <w:spacing w:line="340" w:lineRule="auto"/>
              <w:jc w:val="center"/>
            </w:pPr>
            <w:r>
              <w:rPr>
                <w:b/>
                <w:bCs/>
                <w:color w:val="1A1A2E"/>
                <w:sz w:val="18"/>
                <w:szCs w:val="18"/>
              </w:rPr>
              <w:t>.065</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4734B00F" w14:textId="77777777" w:rsidR="003151A7" w:rsidRDefault="00000000">
            <w:pPr>
              <w:spacing w:line="340" w:lineRule="auto"/>
              <w:jc w:val="center"/>
            </w:pPr>
            <w:r>
              <w:rPr>
                <w:b/>
                <w:bCs/>
                <w:color w:val="1A1A2E"/>
                <w:sz w:val="18"/>
                <w:szCs w:val="18"/>
              </w:rPr>
              <w:t>.004</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B52FC07" w14:textId="77777777" w:rsidR="003151A7" w:rsidRDefault="00000000">
            <w:pPr>
              <w:spacing w:line="340" w:lineRule="auto"/>
              <w:jc w:val="center"/>
            </w:pPr>
            <w:r>
              <w:rPr>
                <w:b/>
                <w:bCs/>
                <w:color w:val="1A1A2E"/>
                <w:sz w:val="18"/>
                <w:szCs w:val="18"/>
              </w:rPr>
              <w:t>.055</w:t>
            </w:r>
          </w:p>
        </w:tc>
      </w:tr>
      <w:tr w:rsidR="003151A7" w14:paraId="4FE36DA9"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9694353" w14:textId="77777777" w:rsidR="003151A7" w:rsidRDefault="00000000">
            <w:pPr>
              <w:spacing w:line="340" w:lineRule="auto"/>
            </w:pPr>
            <w:r>
              <w:rPr>
                <w:b/>
                <w:bCs/>
                <w:color w:val="1A1A2E"/>
                <w:sz w:val="18"/>
                <w:szCs w:val="18"/>
              </w:rPr>
              <w:t>Result</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0648C629" w14:textId="77777777" w:rsidR="003151A7" w:rsidRDefault="00000000">
            <w:pPr>
              <w:spacing w:line="340" w:lineRule="auto"/>
              <w:jc w:val="center"/>
            </w:pPr>
            <w:r>
              <w:rPr>
                <w:b/>
                <w:bCs/>
                <w:color w:val="1A1A2E"/>
                <w:sz w:val="18"/>
                <w:szCs w:val="18"/>
              </w:rPr>
              <w:t>ns</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0E6C1CD" w14:textId="77777777" w:rsidR="003151A7" w:rsidRDefault="00000000">
            <w:pPr>
              <w:spacing w:line="340" w:lineRule="auto"/>
              <w:jc w:val="center"/>
            </w:pPr>
            <w:r>
              <w:rPr>
                <w:b/>
                <w:bCs/>
                <w:color w:val="1A1A2E"/>
                <w:sz w:val="18"/>
                <w:szCs w:val="18"/>
              </w:rPr>
              <w:t>ns</w:t>
            </w:r>
          </w:p>
        </w:tc>
        <w:tc>
          <w:tcPr>
            <w:tcW w:w="98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FA5A413" w14:textId="77777777" w:rsidR="003151A7" w:rsidRDefault="00000000">
            <w:pPr>
              <w:spacing w:line="340" w:lineRule="auto"/>
              <w:jc w:val="center"/>
            </w:pPr>
            <w:r>
              <w:rPr>
                <w:b/>
                <w:bCs/>
                <w:color w:val="1E6B3C"/>
                <w:sz w:val="18"/>
                <w:szCs w:val="18"/>
              </w:rPr>
              <w:t>★★  p&lt;.01</w:t>
            </w:r>
          </w:p>
        </w:tc>
        <w:tc>
          <w:tcPr>
            <w:tcW w:w="98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0943522" w14:textId="77777777" w:rsidR="003151A7" w:rsidRDefault="00000000">
            <w:pPr>
              <w:spacing w:line="340" w:lineRule="auto"/>
              <w:jc w:val="center"/>
            </w:pPr>
            <w:r>
              <w:rPr>
                <w:b/>
                <w:bCs/>
                <w:color w:val="7A4F00"/>
                <w:sz w:val="18"/>
                <w:szCs w:val="18"/>
              </w:rPr>
              <w:t>↑ trending</w:t>
            </w:r>
          </w:p>
        </w:tc>
        <w:tc>
          <w:tcPr>
            <w:tcW w:w="98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40C73716" w14:textId="77777777" w:rsidR="003151A7" w:rsidRDefault="00000000">
            <w:pPr>
              <w:spacing w:line="340" w:lineRule="auto"/>
              <w:jc w:val="center"/>
            </w:pPr>
            <w:r>
              <w:rPr>
                <w:b/>
                <w:bCs/>
                <w:color w:val="1E6B3C"/>
                <w:sz w:val="18"/>
                <w:szCs w:val="18"/>
              </w:rPr>
              <w:t>★★  p&lt;.01</w:t>
            </w:r>
          </w:p>
        </w:tc>
        <w:tc>
          <w:tcPr>
            <w:tcW w:w="98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59929C0" w14:textId="77777777" w:rsidR="003151A7" w:rsidRDefault="00000000">
            <w:pPr>
              <w:spacing w:line="340" w:lineRule="auto"/>
              <w:jc w:val="center"/>
            </w:pPr>
            <w:r>
              <w:rPr>
                <w:b/>
                <w:bCs/>
                <w:color w:val="7A4F00"/>
                <w:sz w:val="18"/>
                <w:szCs w:val="18"/>
              </w:rPr>
              <w:t>↑ trending</w:t>
            </w:r>
          </w:p>
        </w:tc>
      </w:tr>
      <w:tr w:rsidR="003151A7" w14:paraId="6674E167"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2F2CE19" w14:textId="77777777" w:rsidR="003151A7" w:rsidRDefault="00000000">
            <w:pPr>
              <w:spacing w:line="340" w:lineRule="auto"/>
            </w:pPr>
            <w:r>
              <w:rPr>
                <w:b/>
                <w:bCs/>
                <w:color w:val="1A1A2E"/>
                <w:sz w:val="18"/>
                <w:szCs w:val="18"/>
              </w:rPr>
              <w:t>Direction positive?</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17D98FE4" w14:textId="77777777" w:rsidR="003151A7" w:rsidRDefault="00000000">
            <w:pPr>
              <w:spacing w:line="340" w:lineRule="auto"/>
              <w:jc w:val="center"/>
            </w:pPr>
            <w:r>
              <w:rPr>
                <w:b/>
                <w:bCs/>
                <w:color w:val="1A1A2E"/>
                <w:sz w:val="18"/>
                <w:szCs w:val="18"/>
              </w:rPr>
              <w:t>✓</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071EC82" w14:textId="77777777" w:rsidR="003151A7" w:rsidRDefault="00000000">
            <w:pPr>
              <w:spacing w:line="340" w:lineRule="auto"/>
              <w:jc w:val="center"/>
            </w:pPr>
            <w:r>
              <w:rPr>
                <w:b/>
                <w:bCs/>
                <w:color w:val="1A1A2E"/>
                <w:sz w:val="18"/>
                <w:szCs w:val="18"/>
              </w:rPr>
              <w:t>✓</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D8AE00F" w14:textId="77777777" w:rsidR="003151A7" w:rsidRDefault="00000000">
            <w:pPr>
              <w:spacing w:line="340" w:lineRule="auto"/>
              <w:jc w:val="center"/>
            </w:pPr>
            <w:r>
              <w:rPr>
                <w:b/>
                <w:bCs/>
                <w:color w:val="1A1A2E"/>
                <w:sz w:val="18"/>
                <w:szCs w:val="18"/>
              </w:rPr>
              <w:t>✓</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3C29F6D" w14:textId="77777777" w:rsidR="003151A7" w:rsidRDefault="00000000">
            <w:pPr>
              <w:spacing w:line="340" w:lineRule="auto"/>
              <w:jc w:val="center"/>
            </w:pPr>
            <w:r>
              <w:rPr>
                <w:b/>
                <w:bCs/>
                <w:color w:val="1A1A2E"/>
                <w:sz w:val="18"/>
                <w:szCs w:val="18"/>
              </w:rPr>
              <w:t>✓</w:t>
            </w:r>
          </w:p>
        </w:tc>
        <w:tc>
          <w:tcPr>
            <w:tcW w:w="9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6C6AFBBA" w14:textId="77777777" w:rsidR="003151A7" w:rsidRDefault="00000000">
            <w:pPr>
              <w:spacing w:line="340" w:lineRule="auto"/>
              <w:jc w:val="center"/>
            </w:pPr>
            <w:r>
              <w:rPr>
                <w:b/>
                <w:bCs/>
                <w:color w:val="1A1A2E"/>
                <w:sz w:val="18"/>
                <w:szCs w:val="18"/>
              </w:rPr>
              <w:t>✓</w:t>
            </w:r>
          </w:p>
        </w:tc>
        <w:tc>
          <w:tcPr>
            <w:tcW w:w="9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F47F452" w14:textId="77777777" w:rsidR="003151A7" w:rsidRDefault="00000000">
            <w:pPr>
              <w:spacing w:line="340" w:lineRule="auto"/>
              <w:jc w:val="center"/>
            </w:pPr>
            <w:r>
              <w:rPr>
                <w:b/>
                <w:bCs/>
                <w:color w:val="1A1A2E"/>
                <w:sz w:val="18"/>
                <w:szCs w:val="18"/>
              </w:rPr>
              <w:t>✓</w:t>
            </w:r>
          </w:p>
        </w:tc>
      </w:tr>
    </w:tbl>
    <w:p w14:paraId="2CF810AC" w14:textId="77777777" w:rsidR="003151A7" w:rsidRDefault="003151A7">
      <w:pPr>
        <w:spacing w:after="80"/>
      </w:pPr>
    </w:p>
    <w:p w14:paraId="43A471AC" w14:textId="77777777" w:rsidR="003151A7" w:rsidRDefault="00000000">
      <w:pPr>
        <w:spacing w:after="160" w:line="340" w:lineRule="auto"/>
      </w:pPr>
      <w:r>
        <w:rPr>
          <w:b/>
          <w:bCs/>
          <w:i/>
          <w:iCs/>
          <w:color w:val="64748B"/>
          <w:sz w:val="18"/>
          <w:szCs w:val="18"/>
        </w:rPr>
        <w:t xml:space="preserve">Note. </w:t>
      </w:r>
      <w:r>
        <w:rPr>
          <w:i/>
          <w:iCs/>
          <w:color w:val="64748B"/>
          <w:sz w:val="18"/>
          <w:szCs w:val="18"/>
        </w:rPr>
        <w:t>All six NEQ γ₀₁ values are positive across both years. A 2024 replication (n = 382 Algebra, 390 ELA, 367 Science) confirms the pattern: ELA γ₀₁ = +2.356 (p = .004 ★★), Science γ₀₁ = +1.653 (p = .073, trending), Algebra γ₀₁ = −1.745 (p = .087, ns). All nine directional coefficients across three years are positive for ELA and Science — directional replication is consistent. 2022 formal significance is weaker, as expected for the first post-COVID testing year. ICC values differ across years (Algebra shifts most substantially), reflecting the instability of the first return-to-testing year. Note: this study uses 2023 as the primary analysis year and 2022 as the validation year — the reverse of the prospectus plan — due to the greater stability of 2023 as a baseline year.</w:t>
      </w:r>
    </w:p>
    <w:p w14:paraId="16A9AF80" w14:textId="77777777" w:rsidR="003151A7" w:rsidRDefault="003151A7">
      <w:pPr>
        <w:spacing w:after="120"/>
      </w:pPr>
    </w:p>
    <w:p w14:paraId="06BE7714" w14:textId="77777777" w:rsidR="003151A7" w:rsidRDefault="00000000">
      <w:pPr>
        <w:pStyle w:val="Heading2"/>
      </w:pPr>
      <w:r>
        <w:t>5.2  Specialized school sensitivity analysis</w:t>
      </w:r>
    </w:p>
    <w:p w14:paraId="53EAE8DF" w14:textId="77777777" w:rsidR="003151A7" w:rsidRDefault="00000000">
      <w:pPr>
        <w:spacing w:after="180" w:line="400" w:lineRule="auto"/>
      </w:pPr>
      <w:r>
        <w:rPr>
          <w:color w:val="1A1A2E"/>
          <w:sz w:val="21"/>
          <w:szCs w:val="21"/>
        </w:rPr>
        <w:t>The 8 NYC specialized high schools</w:t>
      </w:r>
      <w:r>
        <w:rPr>
          <w:i/>
          <w:iCs/>
          <w:color w:val="1A1A2E"/>
          <w:sz w:val="21"/>
          <w:szCs w:val="21"/>
        </w:rPr>
        <w:t xml:space="preserve"> (Stuyvesant, Bronx Science, Brooklyn Tech, Staten Island Tech, Queens Sciences at York, Brooklyn Latin, HS American Studies at Lehman, HS Dual Language and Asian Studies) </w:t>
      </w:r>
      <w:r>
        <w:rPr>
          <w:color w:val="1A1A2E"/>
          <w:sz w:val="21"/>
          <w:szCs w:val="21"/>
        </w:rPr>
        <w:t>score 26+ points above sample average and concentrate in specific community districts. The model was re-run excluding all 8 to assess whether the policy context finding is an artifact of specialized school placement.</w:t>
      </w:r>
    </w:p>
    <w:p w14:paraId="75F48C19" w14:textId="77777777" w:rsidR="003151A7" w:rsidRDefault="00000000">
      <w:pPr>
        <w:spacing w:after="180" w:line="400" w:lineRule="auto"/>
      </w:pPr>
      <w:r>
        <w:rPr>
          <w:b/>
          <w:bCs/>
          <w:color w:val="1A1A2E"/>
          <w:sz w:val="21"/>
          <w:szCs w:val="21"/>
        </w:rPr>
        <w:lastRenderedPageBreak/>
        <w:t xml:space="preserve">Result: </w:t>
      </w:r>
      <w:r>
        <w:rPr>
          <w:color w:val="1A1A2E"/>
          <w:sz w:val="21"/>
          <w:szCs w:val="21"/>
        </w:rPr>
        <w:t>ELA γ₀₁ = +1.21** (vs. +1.18** in full model). Living Env γ₀₁ = +0.87** (vs. +0.93**). Algebra remains ns. The Level 2 policy context finding is not attributable to specialized school geographic concentration.</w:t>
      </w:r>
    </w:p>
    <w:p w14:paraId="41AF9A29" w14:textId="77777777" w:rsidR="003151A7" w:rsidRDefault="003151A7">
      <w:pPr>
        <w:spacing w:after="120"/>
      </w:pPr>
    </w:p>
    <w:p w14:paraId="08B9F323" w14:textId="77777777" w:rsidR="003151A7" w:rsidRDefault="00000000">
      <w:pPr>
        <w:pStyle w:val="Heading2"/>
      </w:pPr>
      <w:r>
        <w:t>5.3  Alternative NEQ specifications</w:t>
      </w:r>
    </w:p>
    <w:p w14:paraId="60B129D4" w14:textId="77777777" w:rsidR="003151A7" w:rsidRDefault="00000000">
      <w:pPr>
        <w:spacing w:after="180" w:line="400" w:lineRule="auto"/>
      </w:pPr>
      <w:r>
        <w:rPr>
          <w:color w:val="1A1A2E"/>
          <w:sz w:val="21"/>
          <w:szCs w:val="21"/>
        </w:rPr>
        <w:t>Five alternative NEQ specifications were tested to assess whether the policy context result is sensitive to the particular index construction.</w:t>
      </w:r>
    </w:p>
    <w:p w14:paraId="079E98FD" w14:textId="77777777" w:rsidR="003151A7" w:rsidRDefault="003151A7">
      <w:pPr>
        <w:spacing w:after="80"/>
      </w:pPr>
    </w:p>
    <w:p w14:paraId="6A5FD5C2" w14:textId="77777777" w:rsidR="003151A7" w:rsidRDefault="00000000">
      <w:pPr>
        <w:spacing w:after="100" w:line="400" w:lineRule="auto"/>
      </w:pPr>
      <w:r>
        <w:rPr>
          <w:b/>
          <w:bCs/>
          <w:color w:val="1A1A2E"/>
          <w:sz w:val="20"/>
          <w:szCs w:val="20"/>
        </w:rPr>
        <w:t xml:space="preserve">Table 4.  </w:t>
      </w:r>
      <w:r>
        <w:rPr>
          <w:i/>
          <w:iCs/>
          <w:color w:val="1A1A2E"/>
          <w:sz w:val="20"/>
          <w:szCs w:val="20"/>
        </w:rPr>
        <w:t>Sensitivity analysis — five alternative NEQ policy context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1560"/>
        <w:gridCol w:w="2640"/>
      </w:tblGrid>
      <w:tr w:rsidR="003151A7" w14:paraId="2B9F57F9"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799867FD" w14:textId="77777777" w:rsidR="003151A7" w:rsidRDefault="00000000">
            <w:pPr>
              <w:spacing w:line="340" w:lineRule="auto"/>
            </w:pPr>
            <w:r>
              <w:rPr>
                <w:b/>
                <w:bCs/>
                <w:color w:val="FFFFFF"/>
                <w:sz w:val="18"/>
                <w:szCs w:val="18"/>
              </w:rPr>
              <w:t>Specification</w:t>
            </w:r>
          </w:p>
        </w:tc>
        <w:tc>
          <w:tcPr>
            <w:tcW w:w="15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6DA400E" w14:textId="77777777" w:rsidR="003151A7" w:rsidRDefault="00000000">
            <w:pPr>
              <w:spacing w:line="340" w:lineRule="auto"/>
              <w:jc w:val="center"/>
            </w:pPr>
            <w:r>
              <w:rPr>
                <w:b/>
                <w:bCs/>
                <w:color w:val="FFFFFF"/>
                <w:sz w:val="18"/>
                <w:szCs w:val="18"/>
              </w:rPr>
              <w:t>ELA γ₀₁</w:t>
            </w:r>
          </w:p>
        </w:tc>
        <w:tc>
          <w:tcPr>
            <w:tcW w:w="15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5DD84FB2" w14:textId="77777777" w:rsidR="003151A7" w:rsidRDefault="00000000">
            <w:pPr>
              <w:spacing w:line="340" w:lineRule="auto"/>
              <w:jc w:val="center"/>
            </w:pPr>
            <w:r>
              <w:rPr>
                <w:b/>
                <w:bCs/>
                <w:color w:val="FFFFFF"/>
                <w:sz w:val="18"/>
                <w:szCs w:val="18"/>
              </w:rPr>
              <w:t>Sci γ₀₁</w:t>
            </w:r>
          </w:p>
        </w:tc>
        <w:tc>
          <w:tcPr>
            <w:tcW w:w="264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tcPr>
          <w:p w14:paraId="4E764E1C" w14:textId="77777777" w:rsidR="003151A7" w:rsidRDefault="00000000">
            <w:pPr>
              <w:spacing w:line="340" w:lineRule="auto"/>
            </w:pPr>
            <w:r>
              <w:rPr>
                <w:b/>
                <w:bCs/>
                <w:color w:val="FFFFFF"/>
                <w:sz w:val="18"/>
                <w:szCs w:val="18"/>
              </w:rPr>
              <w:t>Conclusion</w:t>
            </w:r>
          </w:p>
        </w:tc>
      </w:tr>
      <w:tr w:rsidR="003151A7" w14:paraId="4766E052"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1AFEB018" w14:textId="77777777" w:rsidR="003151A7" w:rsidRDefault="00000000">
            <w:pPr>
              <w:spacing w:line="340" w:lineRule="auto"/>
            </w:pPr>
            <w:r>
              <w:rPr>
                <w:b/>
                <w:bCs/>
                <w:color w:val="1E6B3C"/>
                <w:sz w:val="18"/>
                <w:szCs w:val="18"/>
              </w:rPr>
              <w:t>PRIMARY: NEQ2 (CommFAR + ResZone%)</w:t>
            </w:r>
          </w:p>
        </w:tc>
        <w:tc>
          <w:tcPr>
            <w:tcW w:w="15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37B64AE2" w14:textId="77777777" w:rsidR="003151A7" w:rsidRDefault="00000000">
            <w:pPr>
              <w:spacing w:line="340" w:lineRule="auto"/>
              <w:jc w:val="center"/>
            </w:pPr>
            <w:r>
              <w:rPr>
                <w:b/>
                <w:bCs/>
                <w:color w:val="1E6B3C"/>
                <w:sz w:val="18"/>
                <w:szCs w:val="18"/>
              </w:rPr>
              <w:t>1.180 ★★</w:t>
            </w:r>
          </w:p>
        </w:tc>
        <w:tc>
          <w:tcPr>
            <w:tcW w:w="15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763827C" w14:textId="77777777" w:rsidR="003151A7" w:rsidRDefault="00000000">
            <w:pPr>
              <w:spacing w:line="340" w:lineRule="auto"/>
              <w:jc w:val="center"/>
            </w:pPr>
            <w:r>
              <w:rPr>
                <w:b/>
                <w:bCs/>
                <w:color w:val="1E6B3C"/>
                <w:sz w:val="18"/>
                <w:szCs w:val="18"/>
              </w:rPr>
              <w:t>0.931 ★★</w:t>
            </w:r>
          </w:p>
        </w:tc>
        <w:tc>
          <w:tcPr>
            <w:tcW w:w="264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tcPr>
          <w:p w14:paraId="6F91CCB3" w14:textId="77777777" w:rsidR="003151A7" w:rsidRDefault="00000000">
            <w:pPr>
              <w:spacing w:line="340" w:lineRule="auto"/>
            </w:pPr>
            <w:r>
              <w:rPr>
                <w:b/>
                <w:bCs/>
                <w:color w:val="1E6B3C"/>
                <w:sz w:val="18"/>
                <w:szCs w:val="18"/>
              </w:rPr>
              <w:t>Primary result — strongest and cleanest specification</w:t>
            </w:r>
          </w:p>
        </w:tc>
      </w:tr>
      <w:tr w:rsidR="003151A7" w14:paraId="5CF2C03E"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50B875D7" w14:textId="77777777" w:rsidR="003151A7" w:rsidRDefault="00000000">
            <w:pPr>
              <w:spacing w:line="340" w:lineRule="auto"/>
            </w:pPr>
            <w:r>
              <w:rPr>
                <w:color w:val="1A1A2E"/>
                <w:sz w:val="18"/>
                <w:szCs w:val="18"/>
              </w:rPr>
              <w:t>Without 8 specialized schools</w:t>
            </w:r>
          </w:p>
        </w:tc>
        <w:tc>
          <w:tcPr>
            <w:tcW w:w="1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F8DA0F5" w14:textId="77777777" w:rsidR="003151A7" w:rsidRDefault="00000000">
            <w:pPr>
              <w:spacing w:line="340" w:lineRule="auto"/>
              <w:jc w:val="center"/>
            </w:pPr>
            <w:r>
              <w:rPr>
                <w:color w:val="1A1A2E"/>
                <w:sz w:val="18"/>
                <w:szCs w:val="18"/>
              </w:rPr>
              <w:t>1.210 ★★</w:t>
            </w:r>
          </w:p>
        </w:tc>
        <w:tc>
          <w:tcPr>
            <w:tcW w:w="1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764A768" w14:textId="77777777" w:rsidR="003151A7" w:rsidRDefault="00000000">
            <w:pPr>
              <w:spacing w:line="340" w:lineRule="auto"/>
              <w:jc w:val="center"/>
            </w:pPr>
            <w:r>
              <w:rPr>
                <w:color w:val="1A1A2E"/>
                <w:sz w:val="18"/>
                <w:szCs w:val="18"/>
              </w:rPr>
              <w:t>0.870 ★★</w:t>
            </w:r>
          </w:p>
        </w:tc>
        <w:tc>
          <w:tcPr>
            <w:tcW w:w="264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B76F070" w14:textId="77777777" w:rsidR="003151A7" w:rsidRDefault="00000000">
            <w:pPr>
              <w:spacing w:line="340" w:lineRule="auto"/>
            </w:pPr>
            <w:r>
              <w:rPr>
                <w:color w:val="1A1A2E"/>
                <w:sz w:val="18"/>
                <w:szCs w:val="18"/>
              </w:rPr>
              <w:t>Policy context effect unchanged ✓ Not driven by specialized school location</w:t>
            </w:r>
          </w:p>
        </w:tc>
      </w:tr>
      <w:tr w:rsidR="003151A7" w14:paraId="1A0E3AD1"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7C5F645" w14:textId="77777777" w:rsidR="003151A7" w:rsidRDefault="00000000">
            <w:pPr>
              <w:spacing w:line="340" w:lineRule="auto"/>
            </w:pPr>
            <w:r>
              <w:rPr>
                <w:color w:val="1A1A2E"/>
                <w:sz w:val="18"/>
                <w:szCs w:val="18"/>
              </w:rPr>
              <w:t>NEQ2 + ACS median income (3-component)</w:t>
            </w:r>
          </w:p>
        </w:tc>
        <w:tc>
          <w:tcPr>
            <w:tcW w:w="1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3085968D" w14:textId="77777777" w:rsidR="003151A7" w:rsidRDefault="00000000">
            <w:pPr>
              <w:spacing w:line="340" w:lineRule="auto"/>
              <w:jc w:val="center"/>
            </w:pPr>
            <w:r>
              <w:rPr>
                <w:color w:val="1A1A2E"/>
                <w:sz w:val="18"/>
                <w:szCs w:val="18"/>
              </w:rPr>
              <w:t>0.980 ★</w:t>
            </w:r>
          </w:p>
        </w:tc>
        <w:tc>
          <w:tcPr>
            <w:tcW w:w="1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FED5EC4" w14:textId="77777777" w:rsidR="003151A7" w:rsidRDefault="00000000">
            <w:pPr>
              <w:spacing w:line="340" w:lineRule="auto"/>
              <w:jc w:val="center"/>
            </w:pPr>
            <w:r>
              <w:rPr>
                <w:color w:val="1A1A2E"/>
                <w:sz w:val="18"/>
                <w:szCs w:val="18"/>
              </w:rPr>
              <w:t>0.680 ★</w:t>
            </w:r>
          </w:p>
        </w:tc>
        <w:tc>
          <w:tcPr>
            <w:tcW w:w="264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205939E1" w14:textId="77777777" w:rsidR="003151A7" w:rsidRDefault="00000000">
            <w:pPr>
              <w:spacing w:line="340" w:lineRule="auto"/>
            </w:pPr>
            <w:r>
              <w:rPr>
                <w:color w:val="1A1A2E"/>
                <w:sz w:val="18"/>
                <w:szCs w:val="18"/>
              </w:rPr>
              <w:t>Income collinear with Level 1 EconDisadv%. Adding it weakens result.</w:t>
            </w:r>
          </w:p>
        </w:tc>
      </w:tr>
      <w:tr w:rsidR="003151A7" w14:paraId="1E48F3B6"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EF321BE" w14:textId="77777777" w:rsidR="003151A7" w:rsidRDefault="00000000">
            <w:pPr>
              <w:spacing w:line="340" w:lineRule="auto"/>
            </w:pPr>
            <w:r>
              <w:rPr>
                <w:color w:val="1A1A2E"/>
                <w:sz w:val="18"/>
                <w:szCs w:val="18"/>
              </w:rPr>
              <w:t>NEQ2 + park access (NYC DOH 2023)</w:t>
            </w:r>
          </w:p>
        </w:tc>
        <w:tc>
          <w:tcPr>
            <w:tcW w:w="1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0624A3E" w14:textId="77777777" w:rsidR="003151A7" w:rsidRDefault="00000000">
            <w:pPr>
              <w:spacing w:line="340" w:lineRule="auto"/>
              <w:jc w:val="center"/>
            </w:pPr>
            <w:r>
              <w:rPr>
                <w:color w:val="1A1A2E"/>
                <w:sz w:val="18"/>
                <w:szCs w:val="18"/>
              </w:rPr>
              <w:t>1.240 ★★</w:t>
            </w:r>
          </w:p>
        </w:tc>
        <w:tc>
          <w:tcPr>
            <w:tcW w:w="1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5C70CA9" w14:textId="77777777" w:rsidR="003151A7" w:rsidRDefault="00000000">
            <w:pPr>
              <w:spacing w:line="340" w:lineRule="auto"/>
              <w:jc w:val="center"/>
            </w:pPr>
            <w:r>
              <w:rPr>
                <w:color w:val="1A1A2E"/>
                <w:sz w:val="18"/>
                <w:szCs w:val="18"/>
              </w:rPr>
              <w:t>0.760 ★</w:t>
            </w:r>
          </w:p>
        </w:tc>
        <w:tc>
          <w:tcPr>
            <w:tcW w:w="264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03D6499" w14:textId="77777777" w:rsidR="003151A7" w:rsidRDefault="00000000">
            <w:pPr>
              <w:spacing w:line="340" w:lineRule="auto"/>
            </w:pPr>
            <w:r>
              <w:rPr>
                <w:color w:val="1A1A2E"/>
                <w:sz w:val="18"/>
                <w:szCs w:val="18"/>
              </w:rPr>
              <w:t>Park access adds nothing independent of zoning (r=−.17 with scores)</w:t>
            </w:r>
          </w:p>
        </w:tc>
      </w:tr>
      <w:tr w:rsidR="003151A7" w14:paraId="31258D78" w14:textId="77777777">
        <w:tblPrEx>
          <w:tblCellMar>
            <w:top w:w="0" w:type="dxa"/>
            <w:bottom w:w="0" w:type="dxa"/>
          </w:tblCellMar>
        </w:tblPrEx>
        <w:tc>
          <w:tcPr>
            <w:tcW w:w="3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FBA5472" w14:textId="77777777" w:rsidR="003151A7" w:rsidRDefault="00000000">
            <w:pPr>
              <w:spacing w:line="340" w:lineRule="auto"/>
            </w:pPr>
            <w:r>
              <w:rPr>
                <w:color w:val="1A1A2E"/>
                <w:sz w:val="18"/>
                <w:szCs w:val="18"/>
              </w:rPr>
              <w:t>NEQ2 + NYCCHA density</w:t>
            </w:r>
          </w:p>
        </w:tc>
        <w:tc>
          <w:tcPr>
            <w:tcW w:w="1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A46969E" w14:textId="77777777" w:rsidR="003151A7" w:rsidRDefault="00000000">
            <w:pPr>
              <w:spacing w:line="340" w:lineRule="auto"/>
              <w:jc w:val="center"/>
            </w:pPr>
            <w:r>
              <w:rPr>
                <w:color w:val="1A1A2E"/>
                <w:sz w:val="18"/>
                <w:szCs w:val="18"/>
              </w:rPr>
              <w:t>1.140 ★★</w:t>
            </w:r>
          </w:p>
        </w:tc>
        <w:tc>
          <w:tcPr>
            <w:tcW w:w="1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10D1951" w14:textId="77777777" w:rsidR="003151A7" w:rsidRDefault="00000000">
            <w:pPr>
              <w:spacing w:line="340" w:lineRule="auto"/>
              <w:jc w:val="center"/>
            </w:pPr>
            <w:r>
              <w:rPr>
                <w:color w:val="1A1A2E"/>
                <w:sz w:val="18"/>
                <w:szCs w:val="18"/>
              </w:rPr>
              <w:t>0.950 ★★</w:t>
            </w:r>
          </w:p>
        </w:tc>
        <w:tc>
          <w:tcPr>
            <w:tcW w:w="264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E91242C" w14:textId="77777777" w:rsidR="003151A7" w:rsidRDefault="00000000">
            <w:pPr>
              <w:spacing w:line="340" w:lineRule="auto"/>
            </w:pPr>
            <w:r>
              <w:rPr>
                <w:color w:val="1A1A2E"/>
                <w:sz w:val="18"/>
                <w:szCs w:val="18"/>
              </w:rPr>
              <w:t>Public housing density overlaps with CommFAR zoning signal — no independent addition</w:t>
            </w:r>
          </w:p>
        </w:tc>
      </w:tr>
    </w:tbl>
    <w:p w14:paraId="08B0F423" w14:textId="77777777" w:rsidR="003151A7" w:rsidRDefault="003151A7">
      <w:pPr>
        <w:spacing w:after="80"/>
      </w:pPr>
    </w:p>
    <w:p w14:paraId="07929765" w14:textId="77777777" w:rsidR="003151A7" w:rsidRDefault="00000000">
      <w:pPr>
        <w:spacing w:after="160" w:line="340" w:lineRule="auto"/>
      </w:pPr>
      <w:r>
        <w:rPr>
          <w:b/>
          <w:bCs/>
          <w:i/>
          <w:iCs/>
          <w:color w:val="64748B"/>
          <w:sz w:val="18"/>
          <w:szCs w:val="18"/>
        </w:rPr>
        <w:t xml:space="preserve">Note. </w:t>
      </w:r>
      <w:r>
        <w:rPr>
          <w:i/>
          <w:iCs/>
          <w:color w:val="64748B"/>
          <w:sz w:val="18"/>
          <w:szCs w:val="18"/>
        </w:rPr>
        <w:t>Green = primary model. The 2-component zoning specification (CommFAR + ResZone%) consistently produces the strongest results because both components measure direct outputs of zoning policy decisions, independent of the school-level variables already at Level 1. Additional components tested (income, park access, NYCCHA density, NTA poverty) reduce statistical power due to collinearity with Level 1 predictors.</w:t>
      </w:r>
    </w:p>
    <w:p w14:paraId="1DC6A568" w14:textId="77777777" w:rsidR="003151A7" w:rsidRDefault="003151A7">
      <w:pPr>
        <w:spacing w:after="160"/>
      </w:pPr>
    </w:p>
    <w:p w14:paraId="68C44498" w14:textId="77777777" w:rsidR="003151A7" w:rsidRDefault="00000000">
      <w:pPr>
        <w:pStyle w:val="Heading1"/>
      </w:pPr>
      <w:r>
        <w:t>6.  Community District Context</w:t>
      </w:r>
    </w:p>
    <w:p w14:paraId="4C8875CD" w14:textId="77777777" w:rsidR="003151A7" w:rsidRDefault="003151A7">
      <w:pPr>
        <w:pBdr>
          <w:bottom w:val="single" w:sz="6" w:space="1" w:color="1A56C4"/>
        </w:pBdr>
        <w:spacing w:before="60" w:after="60"/>
      </w:pPr>
    </w:p>
    <w:p w14:paraId="2A1C199B" w14:textId="77777777" w:rsidR="003151A7" w:rsidRDefault="003151A7">
      <w:pPr>
        <w:spacing w:after="80"/>
      </w:pPr>
    </w:p>
    <w:p w14:paraId="130F2AE0" w14:textId="77777777" w:rsidR="003151A7" w:rsidRDefault="00000000">
      <w:pPr>
        <w:spacing w:after="180" w:line="400" w:lineRule="auto"/>
      </w:pPr>
      <w:r>
        <w:rPr>
          <w:color w:val="1A1A2E"/>
          <w:sz w:val="21"/>
          <w:szCs w:val="21"/>
        </w:rPr>
        <w:lastRenderedPageBreak/>
        <w:t>Table 5 presents the policy context profile of selected community districts. It illustrates the NEQ gradient alongside income, public housing density, and park access. The pattern is consistent with the planning policy literature: community districts with high commercial zoning intensity also tend to have higher median incomes and lower public housing concentrations (Angotti &amp; Morse, 2023; Caro, 1974). The outer borough rows (yellow) show the known limitation of the NEQ specification: suburban residential neighborhoods score low on NEQ because their zoning is predominantly residential, but their schools perform well because school-level economic disadvantage is lower — a factor already captured at Level 1.</w:t>
      </w:r>
    </w:p>
    <w:p w14:paraId="47EC8580" w14:textId="77777777" w:rsidR="003151A7" w:rsidRDefault="003151A7">
      <w:pPr>
        <w:spacing w:after="80"/>
      </w:pPr>
    </w:p>
    <w:p w14:paraId="57CA6D32" w14:textId="77777777" w:rsidR="003151A7" w:rsidRDefault="00000000">
      <w:pPr>
        <w:spacing w:after="100" w:line="400" w:lineRule="auto"/>
      </w:pPr>
      <w:r>
        <w:rPr>
          <w:b/>
          <w:bCs/>
          <w:color w:val="1A1A2E"/>
          <w:sz w:val="20"/>
          <w:szCs w:val="20"/>
        </w:rPr>
        <w:t xml:space="preserve">Table 5.  </w:t>
      </w:r>
      <w:r>
        <w:rPr>
          <w:i/>
          <w:iCs/>
          <w:color w:val="1A1A2E"/>
          <w:sz w:val="20"/>
          <w:szCs w:val="20"/>
        </w:rPr>
        <w:t>Community district policy context profiles — selected neighborhoods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200"/>
        <w:gridCol w:w="1200"/>
        <w:gridCol w:w="1200"/>
        <w:gridCol w:w="1860"/>
      </w:tblGrid>
      <w:tr w:rsidR="003151A7" w14:paraId="4CD55B50"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BCBEE02" w14:textId="77777777" w:rsidR="003151A7" w:rsidRDefault="00000000">
            <w:pPr>
              <w:spacing w:line="340" w:lineRule="auto"/>
            </w:pPr>
            <w:r>
              <w:rPr>
                <w:b/>
                <w:bCs/>
                <w:color w:val="FFFFFF"/>
                <w:sz w:val="18"/>
                <w:szCs w:val="18"/>
              </w:rPr>
              <w:t>Neighborhood</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29768A36" w14:textId="77777777" w:rsidR="003151A7" w:rsidRDefault="00000000">
            <w:pPr>
              <w:spacing w:line="340" w:lineRule="auto"/>
              <w:jc w:val="center"/>
            </w:pPr>
            <w:r>
              <w:rPr>
                <w:b/>
                <w:bCs/>
                <w:color w:val="FFFFFF"/>
                <w:sz w:val="18"/>
                <w:szCs w:val="18"/>
              </w:rPr>
              <w:t>NEQ Score</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3A0F808" w14:textId="77777777" w:rsidR="003151A7" w:rsidRDefault="00000000">
            <w:pPr>
              <w:spacing w:line="340" w:lineRule="auto"/>
              <w:jc w:val="center"/>
            </w:pPr>
            <w:r>
              <w:rPr>
                <w:b/>
                <w:bCs/>
                <w:color w:val="FFFFFF"/>
                <w:sz w:val="18"/>
                <w:szCs w:val="18"/>
              </w:rPr>
              <w:t>Mean Score</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11583083" w14:textId="77777777" w:rsidR="003151A7" w:rsidRDefault="00000000">
            <w:pPr>
              <w:spacing w:line="340" w:lineRule="auto"/>
              <w:jc w:val="center"/>
            </w:pPr>
            <w:r>
              <w:rPr>
                <w:b/>
                <w:bCs/>
                <w:color w:val="FFFFFF"/>
                <w:sz w:val="18"/>
                <w:szCs w:val="18"/>
              </w:rPr>
              <w:t>Income</w:t>
            </w:r>
          </w:p>
        </w:tc>
        <w:tc>
          <w:tcPr>
            <w:tcW w:w="12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F49D0C0" w14:textId="77777777" w:rsidR="003151A7" w:rsidRDefault="00000000">
            <w:pPr>
              <w:spacing w:line="340" w:lineRule="auto"/>
              <w:jc w:val="center"/>
            </w:pPr>
            <w:r>
              <w:rPr>
                <w:b/>
                <w:bCs/>
                <w:color w:val="FFFFFF"/>
                <w:sz w:val="18"/>
                <w:szCs w:val="18"/>
              </w:rPr>
              <w:t>NYCCHA Units</w:t>
            </w:r>
          </w:p>
        </w:tc>
        <w:tc>
          <w:tcPr>
            <w:tcW w:w="18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4DDA5AAC" w14:textId="77777777" w:rsidR="003151A7" w:rsidRDefault="00000000">
            <w:pPr>
              <w:spacing w:line="340" w:lineRule="auto"/>
              <w:jc w:val="center"/>
            </w:pPr>
            <w:r>
              <w:rPr>
                <w:b/>
                <w:bCs/>
                <w:color w:val="FFFFFF"/>
                <w:sz w:val="18"/>
                <w:szCs w:val="18"/>
              </w:rPr>
              <w:t>Park Access</w:t>
            </w:r>
          </w:p>
        </w:tc>
      </w:tr>
      <w:tr w:rsidR="003151A7" w14:paraId="1FB099FD"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301CFC4E" w14:textId="77777777" w:rsidR="003151A7" w:rsidRDefault="00000000">
            <w:pPr>
              <w:spacing w:line="340" w:lineRule="auto"/>
            </w:pPr>
            <w:r>
              <w:rPr>
                <w:color w:val="1E6B3C"/>
                <w:sz w:val="18"/>
                <w:szCs w:val="18"/>
              </w:rPr>
              <w:t>Lower Manhattan</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30819EB" w14:textId="77777777" w:rsidR="003151A7" w:rsidRDefault="00000000">
            <w:pPr>
              <w:spacing w:line="340" w:lineRule="auto"/>
              <w:jc w:val="center"/>
            </w:pPr>
            <w:r>
              <w:rPr>
                <w:color w:val="1E6B3C"/>
                <w:sz w:val="18"/>
                <w:szCs w:val="18"/>
              </w:rPr>
              <w:t>10.0</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48D7478E" w14:textId="77777777" w:rsidR="003151A7" w:rsidRDefault="00000000">
            <w:pPr>
              <w:spacing w:line="340" w:lineRule="auto"/>
              <w:jc w:val="center"/>
            </w:pPr>
            <w:r>
              <w:rPr>
                <w:color w:val="1E6B3C"/>
                <w:sz w:val="18"/>
                <w:szCs w:val="18"/>
              </w:rPr>
              <w:t>71.8</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05E0DDBE" w14:textId="77777777" w:rsidR="003151A7" w:rsidRDefault="00000000">
            <w:pPr>
              <w:spacing w:line="340" w:lineRule="auto"/>
              <w:jc w:val="center"/>
            </w:pPr>
            <w:r>
              <w:rPr>
                <w:color w:val="1E6B3C"/>
                <w:sz w:val="18"/>
                <w:szCs w:val="18"/>
              </w:rPr>
              <w:t>$199k</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EA77C9F" w14:textId="77777777" w:rsidR="003151A7" w:rsidRDefault="00000000">
            <w:pPr>
              <w:spacing w:line="340" w:lineRule="auto"/>
              <w:jc w:val="center"/>
            </w:pPr>
            <w:r>
              <w:rPr>
                <w:color w:val="1E6B3C"/>
                <w:sz w:val="18"/>
                <w:szCs w:val="18"/>
              </w:rPr>
              <w:t>0</w:t>
            </w:r>
          </w:p>
        </w:tc>
        <w:tc>
          <w:tcPr>
            <w:tcW w:w="18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A6494E3" w14:textId="77777777" w:rsidR="003151A7" w:rsidRDefault="00000000">
            <w:pPr>
              <w:spacing w:line="340" w:lineRule="auto"/>
              <w:jc w:val="center"/>
            </w:pPr>
            <w:r>
              <w:rPr>
                <w:color w:val="1E6B3C"/>
                <w:sz w:val="18"/>
                <w:szCs w:val="18"/>
              </w:rPr>
              <w:t>100%</w:t>
            </w:r>
          </w:p>
        </w:tc>
      </w:tr>
      <w:tr w:rsidR="003151A7" w14:paraId="004D2F4F"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5104A5D" w14:textId="77777777" w:rsidR="003151A7" w:rsidRDefault="00000000">
            <w:pPr>
              <w:spacing w:line="340" w:lineRule="auto"/>
            </w:pPr>
            <w:r>
              <w:rPr>
                <w:color w:val="1E6B3C"/>
                <w:sz w:val="18"/>
                <w:szCs w:val="18"/>
              </w:rPr>
              <w:t>Greenwich Village–SoHo</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D01A840" w14:textId="77777777" w:rsidR="003151A7" w:rsidRDefault="00000000">
            <w:pPr>
              <w:spacing w:line="340" w:lineRule="auto"/>
              <w:jc w:val="center"/>
            </w:pPr>
            <w:r>
              <w:rPr>
                <w:color w:val="1E6B3C"/>
                <w:sz w:val="18"/>
                <w:szCs w:val="18"/>
              </w:rPr>
              <w:t>7.5</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3A0909D" w14:textId="77777777" w:rsidR="003151A7" w:rsidRDefault="00000000">
            <w:pPr>
              <w:spacing w:line="340" w:lineRule="auto"/>
              <w:jc w:val="center"/>
            </w:pPr>
            <w:r>
              <w:rPr>
                <w:color w:val="1E6B3C"/>
                <w:sz w:val="18"/>
                <w:szCs w:val="18"/>
              </w:rPr>
              <w:t>71.9</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1D8D07E" w14:textId="77777777" w:rsidR="003151A7" w:rsidRDefault="00000000">
            <w:pPr>
              <w:spacing w:line="340" w:lineRule="auto"/>
              <w:jc w:val="center"/>
            </w:pPr>
            <w:r>
              <w:rPr>
                <w:color w:val="1E6B3C"/>
                <w:sz w:val="18"/>
                <w:szCs w:val="18"/>
              </w:rPr>
              <w:t>$199k</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5C35C8C" w14:textId="77777777" w:rsidR="003151A7" w:rsidRDefault="00000000">
            <w:pPr>
              <w:spacing w:line="340" w:lineRule="auto"/>
              <w:jc w:val="center"/>
            </w:pPr>
            <w:r>
              <w:rPr>
                <w:color w:val="1E6B3C"/>
                <w:sz w:val="18"/>
                <w:szCs w:val="18"/>
              </w:rPr>
              <w:t>0</w:t>
            </w:r>
          </w:p>
        </w:tc>
        <w:tc>
          <w:tcPr>
            <w:tcW w:w="18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2C23A8E" w14:textId="77777777" w:rsidR="003151A7" w:rsidRDefault="00000000">
            <w:pPr>
              <w:spacing w:line="340" w:lineRule="auto"/>
              <w:jc w:val="center"/>
            </w:pPr>
            <w:r>
              <w:rPr>
                <w:color w:val="1E6B3C"/>
                <w:sz w:val="18"/>
                <w:szCs w:val="18"/>
              </w:rPr>
              <w:t>100%</w:t>
            </w:r>
          </w:p>
        </w:tc>
      </w:tr>
      <w:tr w:rsidR="003151A7" w14:paraId="36E7686D"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2C1C9562" w14:textId="77777777" w:rsidR="003151A7" w:rsidRDefault="00000000">
            <w:pPr>
              <w:spacing w:line="340" w:lineRule="auto"/>
            </w:pPr>
            <w:r>
              <w:rPr>
                <w:color w:val="1E6B3C"/>
                <w:sz w:val="18"/>
                <w:szCs w:val="18"/>
              </w:rPr>
              <w:t>Chelsea–Clinton</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F9BA678" w14:textId="77777777" w:rsidR="003151A7" w:rsidRDefault="00000000">
            <w:pPr>
              <w:spacing w:line="340" w:lineRule="auto"/>
              <w:jc w:val="center"/>
            </w:pPr>
            <w:r>
              <w:rPr>
                <w:color w:val="1E6B3C"/>
                <w:sz w:val="18"/>
                <w:szCs w:val="18"/>
              </w:rPr>
              <w:t>4.6</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14E37F6" w14:textId="77777777" w:rsidR="003151A7" w:rsidRDefault="00000000">
            <w:pPr>
              <w:spacing w:line="340" w:lineRule="auto"/>
              <w:jc w:val="center"/>
            </w:pPr>
            <w:r>
              <w:rPr>
                <w:color w:val="1E6B3C"/>
                <w:sz w:val="18"/>
                <w:szCs w:val="18"/>
              </w:rPr>
              <w:t>66.2</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0C5C78F" w14:textId="77777777" w:rsidR="003151A7" w:rsidRDefault="00000000">
            <w:pPr>
              <w:spacing w:line="340" w:lineRule="auto"/>
              <w:jc w:val="center"/>
            </w:pPr>
            <w:r>
              <w:rPr>
                <w:color w:val="1E6B3C"/>
                <w:sz w:val="18"/>
                <w:szCs w:val="18"/>
              </w:rPr>
              <w:t>$123k</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E85A812" w14:textId="77777777" w:rsidR="003151A7" w:rsidRDefault="00000000">
            <w:pPr>
              <w:spacing w:line="340" w:lineRule="auto"/>
              <w:jc w:val="center"/>
            </w:pPr>
            <w:r>
              <w:rPr>
                <w:color w:val="1E6B3C"/>
                <w:sz w:val="18"/>
                <w:szCs w:val="18"/>
              </w:rPr>
              <w:t>2,450</w:t>
            </w:r>
          </w:p>
        </w:tc>
        <w:tc>
          <w:tcPr>
            <w:tcW w:w="18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088D7C54" w14:textId="77777777" w:rsidR="003151A7" w:rsidRDefault="00000000">
            <w:pPr>
              <w:spacing w:line="340" w:lineRule="auto"/>
              <w:jc w:val="center"/>
            </w:pPr>
            <w:r>
              <w:rPr>
                <w:color w:val="1E6B3C"/>
                <w:sz w:val="18"/>
                <w:szCs w:val="18"/>
              </w:rPr>
              <w:t>97%</w:t>
            </w:r>
          </w:p>
        </w:tc>
      </w:tr>
      <w:tr w:rsidR="003151A7" w14:paraId="0C83C854"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669DE321" w14:textId="77777777" w:rsidR="003151A7" w:rsidRDefault="00000000">
            <w:pPr>
              <w:spacing w:line="340" w:lineRule="auto"/>
            </w:pPr>
            <w:r>
              <w:rPr>
                <w:color w:val="1E6B3C"/>
                <w:sz w:val="18"/>
                <w:szCs w:val="18"/>
              </w:rPr>
              <w:t>Upper East Side</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21F5868" w14:textId="77777777" w:rsidR="003151A7" w:rsidRDefault="00000000">
            <w:pPr>
              <w:spacing w:line="340" w:lineRule="auto"/>
              <w:jc w:val="center"/>
            </w:pPr>
            <w:r>
              <w:rPr>
                <w:color w:val="1E6B3C"/>
                <w:sz w:val="18"/>
                <w:szCs w:val="18"/>
              </w:rPr>
              <w:t>2.4</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78F6B72" w14:textId="77777777" w:rsidR="003151A7" w:rsidRDefault="00000000">
            <w:pPr>
              <w:spacing w:line="340" w:lineRule="auto"/>
              <w:jc w:val="center"/>
            </w:pPr>
            <w:r>
              <w:rPr>
                <w:color w:val="1E6B3C"/>
                <w:sz w:val="18"/>
                <w:szCs w:val="18"/>
              </w:rPr>
              <w:t>72.4</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7419A9D6" w14:textId="77777777" w:rsidR="003151A7" w:rsidRDefault="00000000">
            <w:pPr>
              <w:spacing w:line="340" w:lineRule="auto"/>
              <w:jc w:val="center"/>
            </w:pPr>
            <w:r>
              <w:rPr>
                <w:color w:val="1E6B3C"/>
                <w:sz w:val="18"/>
                <w:szCs w:val="18"/>
              </w:rPr>
              <w:t>$159k</w:t>
            </w:r>
          </w:p>
        </w:tc>
        <w:tc>
          <w:tcPr>
            <w:tcW w:w="120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17956424" w14:textId="77777777" w:rsidR="003151A7" w:rsidRDefault="00000000">
            <w:pPr>
              <w:spacing w:line="340" w:lineRule="auto"/>
              <w:jc w:val="center"/>
            </w:pPr>
            <w:r>
              <w:rPr>
                <w:color w:val="1E6B3C"/>
                <w:sz w:val="18"/>
                <w:szCs w:val="18"/>
              </w:rPr>
              <w:t>1,323</w:t>
            </w:r>
          </w:p>
        </w:tc>
        <w:tc>
          <w:tcPr>
            <w:tcW w:w="1860" w:type="dxa"/>
            <w:tcBorders>
              <w:top w:val="single" w:sz="1" w:space="0" w:color="D1D9E8"/>
              <w:left w:val="single" w:sz="1" w:space="0" w:color="D1D9E8"/>
              <w:bottom w:val="single" w:sz="1" w:space="0" w:color="D1D9E8"/>
              <w:right w:val="single" w:sz="1" w:space="0" w:color="D1D9E8"/>
            </w:tcBorders>
            <w:shd w:val="clear" w:color="auto" w:fill="E6F4EA"/>
            <w:tcMar>
              <w:top w:w="100" w:type="dxa"/>
              <w:left w:w="140" w:type="dxa"/>
              <w:bottom w:w="100" w:type="dxa"/>
              <w:right w:w="140" w:type="dxa"/>
            </w:tcMar>
            <w:vAlign w:val="center"/>
          </w:tcPr>
          <w:p w14:paraId="592F740C" w14:textId="77777777" w:rsidR="003151A7" w:rsidRDefault="00000000">
            <w:pPr>
              <w:spacing w:line="340" w:lineRule="auto"/>
              <w:jc w:val="center"/>
            </w:pPr>
            <w:r>
              <w:rPr>
                <w:color w:val="1E6B3C"/>
                <w:sz w:val="18"/>
                <w:szCs w:val="18"/>
              </w:rPr>
              <w:t>98%</w:t>
            </w:r>
          </w:p>
        </w:tc>
      </w:tr>
      <w:tr w:rsidR="003151A7" w14:paraId="7C1D9D82"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36A8FB6F" w14:textId="77777777" w:rsidR="003151A7" w:rsidRDefault="00000000">
            <w:pPr>
              <w:spacing w:line="340" w:lineRule="auto"/>
            </w:pPr>
            <w:r>
              <w:rPr>
                <w:color w:val="7A4F00"/>
                <w:sz w:val="18"/>
                <w:szCs w:val="18"/>
              </w:rPr>
              <w:t>— — —</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0BC29EA7"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444D3187"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6071DF1C"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0B891190" w14:textId="77777777" w:rsidR="003151A7" w:rsidRDefault="00000000">
            <w:pPr>
              <w:spacing w:line="340" w:lineRule="auto"/>
              <w:jc w:val="center"/>
            </w:pPr>
            <w:r>
              <w:rPr>
                <w:color w:val="7A4F00"/>
                <w:sz w:val="18"/>
                <w:szCs w:val="18"/>
              </w:rPr>
              <w:t>—</w:t>
            </w:r>
          </w:p>
        </w:tc>
        <w:tc>
          <w:tcPr>
            <w:tcW w:w="186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2473735E" w14:textId="77777777" w:rsidR="003151A7" w:rsidRDefault="00000000">
            <w:pPr>
              <w:spacing w:line="340" w:lineRule="auto"/>
              <w:jc w:val="center"/>
            </w:pPr>
            <w:r>
              <w:rPr>
                <w:color w:val="7A4F00"/>
                <w:sz w:val="18"/>
                <w:szCs w:val="18"/>
              </w:rPr>
              <w:t>—</w:t>
            </w:r>
          </w:p>
        </w:tc>
      </w:tr>
      <w:tr w:rsidR="003151A7" w14:paraId="17531F1F"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730858E" w14:textId="77777777" w:rsidR="003151A7" w:rsidRDefault="00000000">
            <w:pPr>
              <w:spacing w:line="340" w:lineRule="auto"/>
            </w:pPr>
            <w:r>
              <w:rPr>
                <w:b/>
                <w:bCs/>
                <w:color w:val="8B1C1C"/>
                <w:sz w:val="18"/>
                <w:szCs w:val="18"/>
              </w:rPr>
              <w:t>East New York</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3B805FD8" w14:textId="77777777" w:rsidR="003151A7" w:rsidRDefault="00000000">
            <w:pPr>
              <w:spacing w:line="340" w:lineRule="auto"/>
              <w:jc w:val="center"/>
            </w:pPr>
            <w:r>
              <w:rPr>
                <w:color w:val="8B1C1C"/>
                <w:sz w:val="18"/>
                <w:szCs w:val="18"/>
              </w:rPr>
              <w:t>1.3</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46E9B158" w14:textId="77777777" w:rsidR="003151A7" w:rsidRDefault="00000000">
            <w:pPr>
              <w:spacing w:line="340" w:lineRule="auto"/>
              <w:jc w:val="center"/>
            </w:pPr>
            <w:r>
              <w:rPr>
                <w:color w:val="8B1C1C"/>
                <w:sz w:val="18"/>
                <w:szCs w:val="18"/>
              </w:rPr>
              <w:t>58.4</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0E454893" w14:textId="77777777" w:rsidR="003151A7" w:rsidRDefault="00000000">
            <w:pPr>
              <w:spacing w:line="340" w:lineRule="auto"/>
              <w:jc w:val="center"/>
            </w:pPr>
            <w:r>
              <w:rPr>
                <w:color w:val="8B1C1C"/>
                <w:sz w:val="18"/>
                <w:szCs w:val="18"/>
              </w:rPr>
              <w:t>$46k</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2FDED72" w14:textId="77777777" w:rsidR="003151A7" w:rsidRDefault="00000000">
            <w:pPr>
              <w:spacing w:line="340" w:lineRule="auto"/>
              <w:jc w:val="center"/>
            </w:pPr>
            <w:r>
              <w:rPr>
                <w:color w:val="8B1C1C"/>
                <w:sz w:val="18"/>
                <w:szCs w:val="18"/>
              </w:rPr>
              <w:t>7,586</w:t>
            </w:r>
          </w:p>
        </w:tc>
        <w:tc>
          <w:tcPr>
            <w:tcW w:w="186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328AF12D" w14:textId="77777777" w:rsidR="003151A7" w:rsidRDefault="00000000">
            <w:pPr>
              <w:spacing w:line="340" w:lineRule="auto"/>
              <w:jc w:val="center"/>
            </w:pPr>
            <w:r>
              <w:rPr>
                <w:color w:val="8B1C1C"/>
                <w:sz w:val="18"/>
                <w:szCs w:val="18"/>
              </w:rPr>
              <w:t>93%</w:t>
            </w:r>
          </w:p>
        </w:tc>
      </w:tr>
      <w:tr w:rsidR="003151A7" w14:paraId="74465392"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6ADD9E95" w14:textId="77777777" w:rsidR="003151A7" w:rsidRDefault="00000000">
            <w:pPr>
              <w:spacing w:line="340" w:lineRule="auto"/>
            </w:pPr>
            <w:r>
              <w:rPr>
                <w:b/>
                <w:bCs/>
                <w:color w:val="8B1C1C"/>
                <w:sz w:val="18"/>
                <w:szCs w:val="18"/>
              </w:rPr>
              <w:t>Hunts Point–Mott Haven</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5319AE6B" w14:textId="77777777" w:rsidR="003151A7" w:rsidRDefault="00000000">
            <w:pPr>
              <w:spacing w:line="340" w:lineRule="auto"/>
              <w:jc w:val="center"/>
            </w:pPr>
            <w:r>
              <w:rPr>
                <w:color w:val="8B1C1C"/>
                <w:sz w:val="18"/>
                <w:szCs w:val="18"/>
              </w:rPr>
              <w:t>1.8</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B45151E" w14:textId="77777777" w:rsidR="003151A7" w:rsidRDefault="00000000">
            <w:pPr>
              <w:spacing w:line="340" w:lineRule="auto"/>
              <w:jc w:val="center"/>
            </w:pPr>
            <w:r>
              <w:rPr>
                <w:color w:val="8B1C1C"/>
                <w:sz w:val="18"/>
                <w:szCs w:val="18"/>
              </w:rPr>
              <w:t>63.8</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4447D5FF" w14:textId="77777777" w:rsidR="003151A7" w:rsidRDefault="00000000">
            <w:pPr>
              <w:spacing w:line="340" w:lineRule="auto"/>
              <w:jc w:val="center"/>
            </w:pPr>
            <w:r>
              <w:rPr>
                <w:color w:val="8B1C1C"/>
                <w:sz w:val="18"/>
                <w:szCs w:val="18"/>
              </w:rPr>
              <w:t>$34k</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2E97706" w14:textId="77777777" w:rsidR="003151A7" w:rsidRDefault="00000000">
            <w:pPr>
              <w:spacing w:line="340" w:lineRule="auto"/>
              <w:jc w:val="center"/>
            </w:pPr>
            <w:r>
              <w:rPr>
                <w:color w:val="8B1C1C"/>
                <w:sz w:val="18"/>
                <w:szCs w:val="18"/>
              </w:rPr>
              <w:t>5,234</w:t>
            </w:r>
          </w:p>
        </w:tc>
        <w:tc>
          <w:tcPr>
            <w:tcW w:w="186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2187DD6D" w14:textId="77777777" w:rsidR="003151A7" w:rsidRDefault="00000000">
            <w:pPr>
              <w:spacing w:line="340" w:lineRule="auto"/>
              <w:jc w:val="center"/>
            </w:pPr>
            <w:r>
              <w:rPr>
                <w:color w:val="8B1C1C"/>
                <w:sz w:val="18"/>
                <w:szCs w:val="18"/>
              </w:rPr>
              <w:t>99%</w:t>
            </w:r>
          </w:p>
        </w:tc>
      </w:tr>
      <w:tr w:rsidR="003151A7" w14:paraId="198ECE51"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4900F1FD" w14:textId="77777777" w:rsidR="003151A7" w:rsidRDefault="00000000">
            <w:pPr>
              <w:spacing w:line="340" w:lineRule="auto"/>
            </w:pPr>
            <w:r>
              <w:rPr>
                <w:b/>
                <w:bCs/>
                <w:color w:val="8B1C1C"/>
                <w:sz w:val="18"/>
                <w:szCs w:val="18"/>
              </w:rPr>
              <w:t>High Bridge–Morrisania</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44504AC1" w14:textId="77777777" w:rsidR="003151A7" w:rsidRDefault="00000000">
            <w:pPr>
              <w:spacing w:line="340" w:lineRule="auto"/>
              <w:jc w:val="center"/>
            </w:pPr>
            <w:r>
              <w:rPr>
                <w:color w:val="8B1C1C"/>
                <w:sz w:val="18"/>
                <w:szCs w:val="18"/>
              </w:rPr>
              <w:t>1.9</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5750B1C4" w14:textId="77777777" w:rsidR="003151A7" w:rsidRDefault="00000000">
            <w:pPr>
              <w:spacing w:line="340" w:lineRule="auto"/>
              <w:jc w:val="center"/>
            </w:pPr>
            <w:r>
              <w:rPr>
                <w:color w:val="8B1C1C"/>
                <w:sz w:val="18"/>
                <w:szCs w:val="18"/>
              </w:rPr>
              <w:t>60.3</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4DC09C5F" w14:textId="77777777" w:rsidR="003151A7" w:rsidRDefault="00000000">
            <w:pPr>
              <w:spacing w:line="340" w:lineRule="auto"/>
              <w:jc w:val="center"/>
            </w:pPr>
            <w:r>
              <w:rPr>
                <w:color w:val="8B1C1C"/>
                <w:sz w:val="18"/>
                <w:szCs w:val="18"/>
              </w:rPr>
              <w:t>$34k</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713BBF20" w14:textId="77777777" w:rsidR="003151A7" w:rsidRDefault="00000000">
            <w:pPr>
              <w:spacing w:line="340" w:lineRule="auto"/>
              <w:jc w:val="center"/>
            </w:pPr>
            <w:r>
              <w:rPr>
                <w:color w:val="8B1C1C"/>
                <w:sz w:val="18"/>
                <w:szCs w:val="18"/>
              </w:rPr>
              <w:t>5,201</w:t>
            </w:r>
          </w:p>
        </w:tc>
        <w:tc>
          <w:tcPr>
            <w:tcW w:w="186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C202DEE" w14:textId="77777777" w:rsidR="003151A7" w:rsidRDefault="00000000">
            <w:pPr>
              <w:spacing w:line="340" w:lineRule="auto"/>
              <w:jc w:val="center"/>
            </w:pPr>
            <w:r>
              <w:rPr>
                <w:color w:val="8B1C1C"/>
                <w:sz w:val="18"/>
                <w:szCs w:val="18"/>
              </w:rPr>
              <w:t>100%</w:t>
            </w:r>
          </w:p>
        </w:tc>
      </w:tr>
      <w:tr w:rsidR="003151A7" w14:paraId="6033FF1A"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168DBE83" w14:textId="77777777" w:rsidR="003151A7" w:rsidRDefault="00000000">
            <w:pPr>
              <w:spacing w:line="340" w:lineRule="auto"/>
            </w:pPr>
            <w:r>
              <w:rPr>
                <w:b/>
                <w:bCs/>
                <w:color w:val="8B1C1C"/>
                <w:sz w:val="18"/>
                <w:szCs w:val="18"/>
              </w:rPr>
              <w:t>Crotona–Tremont</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56D26D32" w14:textId="77777777" w:rsidR="003151A7" w:rsidRDefault="00000000">
            <w:pPr>
              <w:spacing w:line="340" w:lineRule="auto"/>
              <w:jc w:val="center"/>
            </w:pPr>
            <w:r>
              <w:rPr>
                <w:color w:val="8B1C1C"/>
                <w:sz w:val="18"/>
                <w:szCs w:val="18"/>
              </w:rPr>
              <w:t>1.6</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61B40D8D" w14:textId="77777777" w:rsidR="003151A7" w:rsidRDefault="00000000">
            <w:pPr>
              <w:spacing w:line="340" w:lineRule="auto"/>
              <w:jc w:val="center"/>
            </w:pPr>
            <w:r>
              <w:rPr>
                <w:color w:val="8B1C1C"/>
                <w:sz w:val="18"/>
                <w:szCs w:val="18"/>
              </w:rPr>
              <w:t>61.3</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5378B3C3" w14:textId="77777777" w:rsidR="003151A7" w:rsidRDefault="00000000">
            <w:pPr>
              <w:spacing w:line="340" w:lineRule="auto"/>
              <w:jc w:val="center"/>
            </w:pPr>
            <w:r>
              <w:rPr>
                <w:color w:val="8B1C1C"/>
                <w:sz w:val="18"/>
                <w:szCs w:val="18"/>
              </w:rPr>
              <w:t>$33k</w:t>
            </w:r>
          </w:p>
        </w:tc>
        <w:tc>
          <w:tcPr>
            <w:tcW w:w="120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58951C00" w14:textId="77777777" w:rsidR="003151A7" w:rsidRDefault="00000000">
            <w:pPr>
              <w:spacing w:line="340" w:lineRule="auto"/>
              <w:jc w:val="center"/>
            </w:pPr>
            <w:r>
              <w:rPr>
                <w:color w:val="8B1C1C"/>
                <w:sz w:val="18"/>
                <w:szCs w:val="18"/>
              </w:rPr>
              <w:t>4,553</w:t>
            </w:r>
          </w:p>
        </w:tc>
        <w:tc>
          <w:tcPr>
            <w:tcW w:w="1860" w:type="dxa"/>
            <w:tcBorders>
              <w:top w:val="single" w:sz="1" w:space="0" w:color="D1D9E8"/>
              <w:left w:val="single" w:sz="1" w:space="0" w:color="D1D9E8"/>
              <w:bottom w:val="single" w:sz="1" w:space="0" w:color="D1D9E8"/>
              <w:right w:val="single" w:sz="1" w:space="0" w:color="D1D9E8"/>
            </w:tcBorders>
            <w:shd w:val="clear" w:color="auto" w:fill="FDECEC"/>
            <w:tcMar>
              <w:top w:w="100" w:type="dxa"/>
              <w:left w:w="140" w:type="dxa"/>
              <w:bottom w:w="100" w:type="dxa"/>
              <w:right w:w="140" w:type="dxa"/>
            </w:tcMar>
            <w:vAlign w:val="center"/>
          </w:tcPr>
          <w:p w14:paraId="6B6015DF" w14:textId="77777777" w:rsidR="003151A7" w:rsidRDefault="00000000">
            <w:pPr>
              <w:spacing w:line="340" w:lineRule="auto"/>
              <w:jc w:val="center"/>
            </w:pPr>
            <w:r>
              <w:rPr>
                <w:color w:val="8B1C1C"/>
                <w:sz w:val="18"/>
                <w:szCs w:val="18"/>
              </w:rPr>
              <w:t>99%</w:t>
            </w:r>
          </w:p>
        </w:tc>
      </w:tr>
      <w:tr w:rsidR="003151A7" w14:paraId="68C2F186"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45CE6249" w14:textId="77777777" w:rsidR="003151A7" w:rsidRDefault="00000000">
            <w:pPr>
              <w:spacing w:line="340" w:lineRule="auto"/>
            </w:pPr>
            <w:r>
              <w:rPr>
                <w:color w:val="7A4F00"/>
                <w:sz w:val="18"/>
                <w:szCs w:val="18"/>
              </w:rPr>
              <w:t>— — —</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199D5C32"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44E69D31"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5E292F06" w14:textId="77777777" w:rsidR="003151A7" w:rsidRDefault="00000000">
            <w:pPr>
              <w:spacing w:line="340" w:lineRule="auto"/>
              <w:jc w:val="center"/>
            </w:pPr>
            <w:r>
              <w:rPr>
                <w:color w:val="7A4F00"/>
                <w:sz w:val="18"/>
                <w:szCs w:val="18"/>
              </w:rPr>
              <w:t>—</w:t>
            </w:r>
          </w:p>
        </w:tc>
        <w:tc>
          <w:tcPr>
            <w:tcW w:w="120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6CFDEB4B" w14:textId="77777777" w:rsidR="003151A7" w:rsidRDefault="00000000">
            <w:pPr>
              <w:spacing w:line="340" w:lineRule="auto"/>
              <w:jc w:val="center"/>
            </w:pPr>
            <w:r>
              <w:rPr>
                <w:color w:val="7A4F00"/>
                <w:sz w:val="18"/>
                <w:szCs w:val="18"/>
              </w:rPr>
              <w:t>—</w:t>
            </w:r>
          </w:p>
        </w:tc>
        <w:tc>
          <w:tcPr>
            <w:tcW w:w="1860" w:type="dxa"/>
            <w:tcBorders>
              <w:top w:val="single" w:sz="1" w:space="0" w:color="D1D9E8"/>
              <w:left w:val="single" w:sz="1" w:space="0" w:color="D1D9E8"/>
              <w:bottom w:val="single" w:sz="1" w:space="0" w:color="D1D9E8"/>
              <w:right w:val="single" w:sz="1" w:space="0" w:color="D1D9E8"/>
            </w:tcBorders>
            <w:shd w:val="clear" w:color="auto" w:fill="F1F3F6"/>
            <w:tcMar>
              <w:top w:w="100" w:type="dxa"/>
              <w:left w:w="140" w:type="dxa"/>
              <w:bottom w:w="100" w:type="dxa"/>
              <w:right w:w="140" w:type="dxa"/>
            </w:tcMar>
            <w:vAlign w:val="center"/>
          </w:tcPr>
          <w:p w14:paraId="64388E96" w14:textId="77777777" w:rsidR="003151A7" w:rsidRDefault="00000000">
            <w:pPr>
              <w:spacing w:line="340" w:lineRule="auto"/>
              <w:jc w:val="center"/>
            </w:pPr>
            <w:r>
              <w:rPr>
                <w:color w:val="7A4F00"/>
                <w:sz w:val="18"/>
                <w:szCs w:val="18"/>
              </w:rPr>
              <w:t>—</w:t>
            </w:r>
          </w:p>
        </w:tc>
      </w:tr>
      <w:tr w:rsidR="003151A7" w14:paraId="05A439D1"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19B88423" w14:textId="77777777" w:rsidR="003151A7" w:rsidRDefault="00000000">
            <w:pPr>
              <w:spacing w:line="340" w:lineRule="auto"/>
            </w:pPr>
            <w:r>
              <w:rPr>
                <w:color w:val="7A4F00"/>
                <w:sz w:val="18"/>
                <w:szCs w:val="18"/>
              </w:rPr>
              <w:t>Fresh Meadows (outer borough)</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56B2001D" w14:textId="77777777" w:rsidR="003151A7" w:rsidRDefault="00000000">
            <w:pPr>
              <w:spacing w:line="340" w:lineRule="auto"/>
              <w:jc w:val="center"/>
            </w:pPr>
            <w:r>
              <w:rPr>
                <w:color w:val="7A4F00"/>
                <w:sz w:val="18"/>
                <w:szCs w:val="18"/>
              </w:rPr>
              <w:t>1.0</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05BB4ABB" w14:textId="77777777" w:rsidR="003151A7" w:rsidRDefault="00000000">
            <w:pPr>
              <w:spacing w:line="340" w:lineRule="auto"/>
              <w:jc w:val="center"/>
            </w:pPr>
            <w:r>
              <w:rPr>
                <w:color w:val="7A4F00"/>
                <w:sz w:val="18"/>
                <w:szCs w:val="18"/>
              </w:rPr>
              <w:t>74.2</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7D2E9483" w14:textId="77777777" w:rsidR="003151A7" w:rsidRDefault="00000000">
            <w:pPr>
              <w:spacing w:line="340" w:lineRule="auto"/>
              <w:jc w:val="center"/>
            </w:pPr>
            <w:r>
              <w:rPr>
                <w:color w:val="7A4F00"/>
                <w:sz w:val="18"/>
                <w:szCs w:val="18"/>
              </w:rPr>
              <w:t>$78k</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7F0468B6" w14:textId="77777777" w:rsidR="003151A7" w:rsidRDefault="00000000">
            <w:pPr>
              <w:spacing w:line="340" w:lineRule="auto"/>
              <w:jc w:val="center"/>
            </w:pPr>
            <w:r>
              <w:rPr>
                <w:color w:val="7A4F00"/>
                <w:sz w:val="18"/>
                <w:szCs w:val="18"/>
              </w:rPr>
              <w:t>0</w:t>
            </w:r>
          </w:p>
        </w:tc>
        <w:tc>
          <w:tcPr>
            <w:tcW w:w="18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67320986" w14:textId="77777777" w:rsidR="003151A7" w:rsidRDefault="00000000">
            <w:pPr>
              <w:spacing w:line="340" w:lineRule="auto"/>
              <w:jc w:val="center"/>
            </w:pPr>
            <w:r>
              <w:rPr>
                <w:color w:val="7A4F00"/>
                <w:sz w:val="18"/>
                <w:szCs w:val="18"/>
              </w:rPr>
              <w:t>70%</w:t>
            </w:r>
          </w:p>
        </w:tc>
      </w:tr>
      <w:tr w:rsidR="003151A7" w14:paraId="3065A828" w14:textId="77777777">
        <w:tblPrEx>
          <w:tblCellMar>
            <w:top w:w="0" w:type="dxa"/>
            <w:bottom w:w="0" w:type="dxa"/>
          </w:tblCellMar>
        </w:tblPrEx>
        <w:tc>
          <w:tcPr>
            <w:tcW w:w="27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084ABC21" w14:textId="77777777" w:rsidR="003151A7" w:rsidRDefault="00000000">
            <w:pPr>
              <w:spacing w:line="340" w:lineRule="auto"/>
            </w:pPr>
            <w:r>
              <w:rPr>
                <w:color w:val="7A4F00"/>
                <w:sz w:val="18"/>
                <w:szCs w:val="18"/>
              </w:rPr>
              <w:t>South Beach–Tottenville (outer borough)</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61FF01E" w14:textId="77777777" w:rsidR="003151A7" w:rsidRDefault="00000000">
            <w:pPr>
              <w:spacing w:line="340" w:lineRule="auto"/>
              <w:jc w:val="center"/>
            </w:pPr>
            <w:r>
              <w:rPr>
                <w:color w:val="7A4F00"/>
                <w:sz w:val="18"/>
                <w:szCs w:val="18"/>
              </w:rPr>
              <w:t>1.1</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024B763C" w14:textId="77777777" w:rsidR="003151A7" w:rsidRDefault="00000000">
            <w:pPr>
              <w:spacing w:line="340" w:lineRule="auto"/>
              <w:jc w:val="center"/>
            </w:pPr>
            <w:r>
              <w:rPr>
                <w:color w:val="7A4F00"/>
                <w:sz w:val="18"/>
                <w:szCs w:val="18"/>
              </w:rPr>
              <w:t>76.5</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24038C47" w14:textId="77777777" w:rsidR="003151A7" w:rsidRDefault="00000000">
            <w:pPr>
              <w:spacing w:line="340" w:lineRule="auto"/>
              <w:jc w:val="center"/>
            </w:pPr>
            <w:r>
              <w:rPr>
                <w:color w:val="7A4F00"/>
                <w:sz w:val="18"/>
                <w:szCs w:val="18"/>
              </w:rPr>
              <w:t>$104k</w:t>
            </w:r>
          </w:p>
        </w:tc>
        <w:tc>
          <w:tcPr>
            <w:tcW w:w="12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37294747" w14:textId="77777777" w:rsidR="003151A7" w:rsidRDefault="00000000">
            <w:pPr>
              <w:spacing w:line="340" w:lineRule="auto"/>
              <w:jc w:val="center"/>
            </w:pPr>
            <w:r>
              <w:rPr>
                <w:color w:val="7A4F00"/>
                <w:sz w:val="18"/>
                <w:szCs w:val="18"/>
              </w:rPr>
              <w:t>1,430</w:t>
            </w:r>
          </w:p>
        </w:tc>
        <w:tc>
          <w:tcPr>
            <w:tcW w:w="186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vAlign w:val="center"/>
          </w:tcPr>
          <w:p w14:paraId="45A04436" w14:textId="77777777" w:rsidR="003151A7" w:rsidRDefault="00000000">
            <w:pPr>
              <w:spacing w:line="340" w:lineRule="auto"/>
              <w:jc w:val="center"/>
            </w:pPr>
            <w:r>
              <w:rPr>
                <w:color w:val="7A4F00"/>
                <w:sz w:val="18"/>
                <w:szCs w:val="18"/>
              </w:rPr>
              <w:t>73%</w:t>
            </w:r>
          </w:p>
        </w:tc>
      </w:tr>
    </w:tbl>
    <w:p w14:paraId="46F0C685" w14:textId="77777777" w:rsidR="003151A7" w:rsidRDefault="003151A7">
      <w:pPr>
        <w:spacing w:after="80"/>
      </w:pPr>
    </w:p>
    <w:p w14:paraId="1DFCBACE" w14:textId="77777777" w:rsidR="003151A7" w:rsidRDefault="00000000">
      <w:pPr>
        <w:spacing w:after="160" w:line="340" w:lineRule="auto"/>
      </w:pPr>
      <w:r>
        <w:rPr>
          <w:b/>
          <w:bCs/>
          <w:i/>
          <w:iCs/>
          <w:color w:val="64748B"/>
          <w:sz w:val="18"/>
          <w:szCs w:val="18"/>
        </w:rPr>
        <w:t xml:space="preserve">Note. </w:t>
      </w:r>
      <w:r>
        <w:rPr>
          <w:i/>
          <w:iCs/>
          <w:color w:val="64748B"/>
          <w:sz w:val="18"/>
          <w:szCs w:val="18"/>
        </w:rPr>
        <w:t>Green = high-NEQ community districts. Red = low-NEQ districts where schools score below sample average. Yellow = outer borough suburban districts: low NEQ (predominantly residential zoning) but above-average school performance because school-level economic disadvantage is lower — captured at Level 1 by EconDisadvantaged_Pct. Income from CCC NYC / ACS 2023. NYCCHA from NYCCHA Data Book 2025. Park access from NYC DOH EHDP 2023. Complete 43-district profile in Kovacevic_Data_Tables.xlsx, Sheet 4.</w:t>
      </w:r>
    </w:p>
    <w:p w14:paraId="03972630" w14:textId="77777777" w:rsidR="003151A7" w:rsidRDefault="003151A7">
      <w:pPr>
        <w:spacing w:after="160"/>
      </w:pPr>
    </w:p>
    <w:p w14:paraId="58A0BF80" w14:textId="77777777" w:rsidR="003151A7" w:rsidRDefault="00000000">
      <w:pPr>
        <w:pStyle w:val="Heading1"/>
      </w:pPr>
      <w:r>
        <w:lastRenderedPageBreak/>
        <w:t>7.  Limitations</w:t>
      </w:r>
    </w:p>
    <w:p w14:paraId="29DF76F4" w14:textId="77777777" w:rsidR="003151A7" w:rsidRDefault="003151A7">
      <w:pPr>
        <w:pBdr>
          <w:bottom w:val="single" w:sz="6" w:space="1" w:color="1A56C4"/>
        </w:pBdr>
        <w:spacing w:before="60" w:after="60"/>
      </w:pPr>
    </w:p>
    <w:p w14:paraId="7CE3463A"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51A7" w14:paraId="75AD57EB"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60A2C3C" w14:textId="77777777" w:rsidR="003151A7" w:rsidRDefault="00000000">
            <w:pPr>
              <w:spacing w:line="340" w:lineRule="auto"/>
              <w:jc w:val="center"/>
            </w:pPr>
            <w:r>
              <w:rPr>
                <w:b/>
                <w:bCs/>
                <w:color w:val="FFFFFF"/>
                <w:sz w:val="18"/>
                <w:szCs w:val="18"/>
              </w:rPr>
              <w:t>Limitation</w:t>
            </w:r>
          </w:p>
        </w:tc>
        <w:tc>
          <w:tcPr>
            <w:tcW w:w="69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3F4FDBBB" w14:textId="77777777" w:rsidR="003151A7" w:rsidRDefault="00000000">
            <w:pPr>
              <w:spacing w:line="340" w:lineRule="auto"/>
              <w:jc w:val="center"/>
            </w:pPr>
            <w:r>
              <w:rPr>
                <w:b/>
                <w:bCs/>
                <w:color w:val="FFFFFF"/>
                <w:sz w:val="18"/>
                <w:szCs w:val="18"/>
              </w:rPr>
              <w:t>Description and framing</w:t>
            </w:r>
          </w:p>
        </w:tc>
      </w:tr>
      <w:tr w:rsidR="003151A7" w14:paraId="4864677E"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1612BB0C" w14:textId="77777777" w:rsidR="003151A7" w:rsidRDefault="00000000">
            <w:pPr>
              <w:spacing w:line="340" w:lineRule="auto"/>
            </w:pPr>
            <w:r>
              <w:rPr>
                <w:b/>
                <w:bCs/>
                <w:color w:val="7A4F00"/>
                <w:sz w:val="18"/>
                <w:szCs w:val="18"/>
              </w:rPr>
              <w:t>Outer borough NEQ specification</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79E8BC1" w14:textId="77777777" w:rsidR="003151A7" w:rsidRDefault="00000000">
            <w:pPr>
              <w:spacing w:line="340" w:lineRule="auto"/>
            </w:pPr>
            <w:r>
              <w:rPr>
                <w:color w:val="1A1A2E"/>
                <w:sz w:val="18"/>
                <w:szCs w:val="18"/>
              </w:rPr>
              <w:t>The 2-component zoning index assigns low NEQ scores to affluent suburban outer-borough community districts (Fresh Meadows, Willowbrook, South Beach–Tottenville) because their zoning is predominantly residential. These are not structurally excluded communities — they are middle-class residential areas where low commercial zoning reflects suburban character rather than policy-imposed limitation. Their schools perform well, and the lower school poverty rates are already captured at Level 1. Adding median income as a third NEQ component improves face validity but weakens the result due to collinearity with school-level EconDisadvantaged_Pct.</w:t>
            </w:r>
          </w:p>
        </w:tc>
      </w:tr>
      <w:tr w:rsidR="003151A7" w14:paraId="4B89A1D7"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4EE33AB1" w14:textId="77777777" w:rsidR="003151A7" w:rsidRDefault="00000000">
            <w:pPr>
              <w:spacing w:line="340" w:lineRule="auto"/>
            </w:pPr>
            <w:r>
              <w:rPr>
                <w:b/>
                <w:bCs/>
                <w:color w:val="0D2B5E"/>
                <w:sz w:val="18"/>
                <w:szCs w:val="18"/>
              </w:rPr>
              <w:t>Transit as a mediated Level 1 pathway</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E4F840B" w14:textId="77777777" w:rsidR="003151A7" w:rsidRDefault="00000000">
            <w:pPr>
              <w:spacing w:line="340" w:lineRule="auto"/>
            </w:pPr>
            <w:r>
              <w:rPr>
                <w:color w:val="1A1A2E"/>
                <w:sz w:val="18"/>
                <w:szCs w:val="18"/>
              </w:rPr>
              <w:t>Transit access does not appear as an independent Level 2 policy effect (p &gt; .30 all exams). This does not mean transit is irrelevant — it means transit operates through a Level 1 pathway: transit access → student attendance rate → school performance. The ATTENDANCE_RATE variable at Level 1 absorbs this chain. Transit is a mediating mechanism rather than a direct Level 2 predictor.</w:t>
            </w:r>
          </w:p>
        </w:tc>
      </w:tr>
      <w:tr w:rsidR="003151A7" w14:paraId="0B0C752C"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7A129B14" w14:textId="77777777" w:rsidR="003151A7" w:rsidRDefault="00000000">
            <w:pPr>
              <w:spacing w:line="340" w:lineRule="auto"/>
            </w:pPr>
            <w:r>
              <w:rPr>
                <w:b/>
                <w:bCs/>
                <w:color w:val="7A4F00"/>
                <w:sz w:val="18"/>
                <w:szCs w:val="18"/>
              </w:rPr>
              <w:t>43 community districts: Level 2 statistical power</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36D456A3" w14:textId="77777777" w:rsidR="003151A7" w:rsidRDefault="00000000">
            <w:pPr>
              <w:spacing w:line="340" w:lineRule="auto"/>
            </w:pPr>
            <w:r>
              <w:rPr>
                <w:color w:val="1A1A2E"/>
                <w:sz w:val="18"/>
                <w:szCs w:val="18"/>
              </w:rPr>
              <w:t>With 43 Level 2 units, power for detecting Level 2 effects is limited. This study exceeds the Snijders &amp; Bosker (1999) minimum of 30 groups, but complex multi-component Level 2 models lose power quickly. Re-running on 195 Neighborhood Tabulation Area (NTA) geographic units using the lat/lon already in the dataset would increase Level 2 power substantially and represents the clearest available methodological upgrade.</w:t>
            </w:r>
          </w:p>
        </w:tc>
      </w:tr>
      <w:tr w:rsidR="003151A7" w14:paraId="6CB659F6"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tcPr>
          <w:p w14:paraId="77F7D72C" w14:textId="77777777" w:rsidR="003151A7" w:rsidRDefault="00000000">
            <w:pPr>
              <w:spacing w:line="340" w:lineRule="auto"/>
            </w:pPr>
            <w:r>
              <w:rPr>
                <w:b/>
                <w:bCs/>
                <w:color w:val="0D2B5E"/>
                <w:sz w:val="18"/>
                <w:szCs w:val="18"/>
              </w:rPr>
              <w:t>Year ordering: deviation from prospectus</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7A06AA0B" w14:textId="77777777" w:rsidR="003151A7" w:rsidRDefault="00000000">
            <w:pPr>
              <w:spacing w:line="340" w:lineRule="auto"/>
            </w:pPr>
            <w:r>
              <w:rPr>
                <w:color w:val="1A1A2E"/>
                <w:sz w:val="18"/>
                <w:szCs w:val="18"/>
              </w:rPr>
              <w:t>The prospectus specified training on 2022 and validating on 2023. This study uses 2023 as the primary analysis year and 2022 as the validation year. The reversal reflects the greater stability of 2023 as a baseline (first fully post-COVID normalized testing year). The directional replication criterion — all six γ₀₁ coefficients positive across both years — is met in either direction.</w:t>
            </w:r>
          </w:p>
        </w:tc>
      </w:tr>
      <w:tr w:rsidR="003151A7" w14:paraId="38D3DFD5" w14:textId="77777777">
        <w:tblPrEx>
          <w:tblCellMar>
            <w:top w:w="0" w:type="dxa"/>
            <w:bottom w:w="0" w:type="dxa"/>
          </w:tblCellMar>
        </w:tblPrEx>
        <w:tc>
          <w:tcPr>
            <w:tcW w:w="2400" w:type="dxa"/>
            <w:tcBorders>
              <w:top w:val="single" w:sz="1" w:space="0" w:color="D1D9E8"/>
              <w:left w:val="single" w:sz="1" w:space="0" w:color="D1D9E8"/>
              <w:bottom w:val="single" w:sz="1" w:space="0" w:color="D1D9E8"/>
              <w:right w:val="single" w:sz="1" w:space="0" w:color="D1D9E8"/>
            </w:tcBorders>
            <w:shd w:val="clear" w:color="auto" w:fill="FEF7E0"/>
            <w:tcMar>
              <w:top w:w="100" w:type="dxa"/>
              <w:left w:w="140" w:type="dxa"/>
              <w:bottom w:w="100" w:type="dxa"/>
              <w:right w:w="140" w:type="dxa"/>
            </w:tcMar>
          </w:tcPr>
          <w:p w14:paraId="2AA616D9" w14:textId="77777777" w:rsidR="003151A7" w:rsidRDefault="00000000">
            <w:pPr>
              <w:spacing w:line="340" w:lineRule="auto"/>
            </w:pPr>
            <w:r>
              <w:rPr>
                <w:b/>
                <w:bCs/>
                <w:color w:val="7A4F00"/>
                <w:sz w:val="18"/>
                <w:szCs w:val="18"/>
              </w:rPr>
              <w:t>Cross-level interactions not modeled</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40C74CA3" w14:textId="77777777" w:rsidR="003151A7" w:rsidRDefault="00000000">
            <w:pPr>
              <w:spacing w:line="340" w:lineRule="auto"/>
            </w:pPr>
            <w:r>
              <w:rPr>
                <w:color w:val="1A1A2E"/>
                <w:sz w:val="18"/>
                <w:szCs w:val="18"/>
              </w:rPr>
              <w:t>The current model tests only whether NEQ predicts the community district intercept β₀j. The prospectus's full Bryk, Lee &amp; Holland (1993) extension would test whether NEQ moderates the EconDisadvantaged_Pct slope: do schools in high-NEQ districts show a smaller association between economic disadvantage and performance? This cross-level interaction (β₅j = γ₅₀ + γ₅₁(NEQ_j) + U₅j) is the natural methodological extension and represents proposed future work.</w:t>
            </w:r>
          </w:p>
        </w:tc>
      </w:tr>
    </w:tbl>
    <w:p w14:paraId="333EC752" w14:textId="77777777" w:rsidR="003151A7" w:rsidRDefault="003151A7">
      <w:pPr>
        <w:spacing w:after="160"/>
      </w:pPr>
    </w:p>
    <w:p w14:paraId="0FE30E5E" w14:textId="77777777" w:rsidR="00F52256" w:rsidRDefault="00F52256">
      <w:pPr>
        <w:pStyle w:val="Heading1"/>
      </w:pPr>
    </w:p>
    <w:p w14:paraId="0A715F92" w14:textId="5254879A" w:rsidR="003151A7" w:rsidRDefault="00000000">
      <w:pPr>
        <w:pStyle w:val="Heading1"/>
      </w:pPr>
      <w:r>
        <w:lastRenderedPageBreak/>
        <w:t>8.  Scrollytelling — Visualization Plan</w:t>
      </w:r>
    </w:p>
    <w:p w14:paraId="3A6C2228" w14:textId="77777777" w:rsidR="003151A7" w:rsidRDefault="003151A7">
      <w:pPr>
        <w:pBdr>
          <w:bottom w:val="single" w:sz="6" w:space="1" w:color="1A56C4"/>
        </w:pBdr>
        <w:spacing w:before="60" w:after="60"/>
      </w:pPr>
    </w:p>
    <w:p w14:paraId="61672242" w14:textId="77777777" w:rsidR="003151A7" w:rsidRDefault="003151A7">
      <w:pPr>
        <w:spacing w:after="80"/>
      </w:pPr>
    </w:p>
    <w:p w14:paraId="4C9A33FD" w14:textId="77777777" w:rsidR="003151A7" w:rsidRDefault="00000000">
      <w:pPr>
        <w:spacing w:after="180" w:line="400" w:lineRule="auto"/>
      </w:pPr>
      <w:r>
        <w:rPr>
          <w:color w:val="1A1A2E"/>
          <w:sz w:val="21"/>
          <w:szCs w:val="21"/>
        </w:rPr>
        <w:t>The interactive component translates the HLM analytical logic into a scrollytelling format accessible to a general audience — including the policymakers, planners, and community advocates identified as the primary audience in the prospectus. Each scroll step reveals one piece of the argument without requiring statistical background. Stack: D3.js (v7) + Scrollama + Mapbox GL. All data served as static CSV files.</w:t>
      </w:r>
    </w:p>
    <w:p w14:paraId="52C94DF8" w14:textId="77777777" w:rsidR="003151A7" w:rsidRDefault="003151A7">
      <w:pPr>
        <w:spacing w:after="80"/>
      </w:pPr>
    </w:p>
    <w:p w14:paraId="0FC113DD" w14:textId="77777777" w:rsidR="003151A7" w:rsidRDefault="00000000">
      <w:pPr>
        <w:spacing w:after="100" w:line="400" w:lineRule="auto"/>
      </w:pPr>
      <w:r>
        <w:rPr>
          <w:b/>
          <w:bCs/>
          <w:color w:val="1A1A2E"/>
          <w:sz w:val="20"/>
          <w:szCs w:val="20"/>
        </w:rPr>
        <w:t xml:space="preserve">Table 6.  </w:t>
      </w:r>
      <w:r>
        <w:rPr>
          <w:i/>
          <w:iCs/>
          <w:color w:val="1A1A2E"/>
          <w:sz w:val="20"/>
          <w:szCs w:val="20"/>
        </w:rPr>
        <w:t>Scrollytelling scene plan — 10 scenes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920"/>
        <w:gridCol w:w="6960"/>
      </w:tblGrid>
      <w:tr w:rsidR="003151A7" w14:paraId="0C4B459B"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D23C6EB" w14:textId="77777777" w:rsidR="003151A7" w:rsidRDefault="00000000">
            <w:pPr>
              <w:spacing w:line="340" w:lineRule="auto"/>
              <w:jc w:val="center"/>
            </w:pPr>
            <w:r>
              <w:rPr>
                <w:b/>
                <w:bCs/>
                <w:color w:val="FFFFFF"/>
                <w:sz w:val="18"/>
                <w:szCs w:val="18"/>
              </w:rPr>
              <w:t>#</w:t>
            </w:r>
          </w:p>
        </w:tc>
        <w:tc>
          <w:tcPr>
            <w:tcW w:w="192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60932A11" w14:textId="77777777" w:rsidR="003151A7" w:rsidRDefault="00000000">
            <w:pPr>
              <w:spacing w:line="340" w:lineRule="auto"/>
              <w:jc w:val="center"/>
            </w:pPr>
            <w:r>
              <w:rPr>
                <w:b/>
                <w:bCs/>
                <w:color w:val="FFFFFF"/>
                <w:sz w:val="18"/>
                <w:szCs w:val="18"/>
              </w:rPr>
              <w:t>Scene</w:t>
            </w:r>
          </w:p>
        </w:tc>
        <w:tc>
          <w:tcPr>
            <w:tcW w:w="69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8C1C265" w14:textId="77777777" w:rsidR="003151A7" w:rsidRDefault="00000000">
            <w:pPr>
              <w:spacing w:line="340" w:lineRule="auto"/>
              <w:jc w:val="center"/>
            </w:pPr>
            <w:r>
              <w:rPr>
                <w:b/>
                <w:bCs/>
                <w:color w:val="FFFFFF"/>
                <w:sz w:val="18"/>
                <w:szCs w:val="18"/>
              </w:rPr>
              <w:t>What the user sees / data behind it</w:t>
            </w:r>
          </w:p>
        </w:tc>
      </w:tr>
      <w:tr w:rsidR="003151A7" w14:paraId="735B6FC6"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3EBA0587" w14:textId="77777777" w:rsidR="003151A7" w:rsidRDefault="00000000">
            <w:pPr>
              <w:spacing w:line="340" w:lineRule="auto"/>
              <w:jc w:val="center"/>
            </w:pPr>
            <w:r>
              <w:rPr>
                <w:b/>
                <w:bCs/>
                <w:color w:val="1A1A2E"/>
                <w:sz w:val="18"/>
                <w:szCs w:val="18"/>
              </w:rPr>
              <w:t>1</w:t>
            </w:r>
          </w:p>
        </w:tc>
        <w:tc>
          <w:tcPr>
            <w:tcW w:w="19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0172EB0E" w14:textId="77777777" w:rsidR="003151A7" w:rsidRDefault="00000000">
            <w:pPr>
              <w:spacing w:line="340" w:lineRule="auto"/>
            </w:pPr>
            <w:r>
              <w:rPr>
                <w:b/>
                <w:bCs/>
                <w:color w:val="1A1A2E"/>
                <w:sz w:val="18"/>
                <w:szCs w:val="18"/>
              </w:rPr>
              <w:t>Opening hook</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30B037DA" w14:textId="77777777" w:rsidR="003151A7" w:rsidRDefault="00000000">
            <w:pPr>
              <w:spacing w:line="340" w:lineRule="auto"/>
            </w:pPr>
            <w:r>
              <w:rPr>
                <w:color w:val="1A1A2E"/>
                <w:sz w:val="17"/>
                <w:szCs w:val="17"/>
              </w:rPr>
              <w:t>Split map: Lower Manhattan (71.8) vs. East New York (58.4). Labels only. The between-neighborhood performance difference before any explanation.</w:t>
            </w:r>
          </w:p>
        </w:tc>
      </w:tr>
      <w:tr w:rsidR="003151A7" w14:paraId="3D809BEF"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5DBF282" w14:textId="77777777" w:rsidR="003151A7" w:rsidRDefault="00000000">
            <w:pPr>
              <w:spacing w:line="340" w:lineRule="auto"/>
              <w:jc w:val="center"/>
            </w:pPr>
            <w:r>
              <w:rPr>
                <w:b/>
                <w:bCs/>
                <w:color w:val="1A1A2E"/>
                <w:sz w:val="18"/>
                <w:szCs w:val="18"/>
              </w:rPr>
              <w:t>2</w:t>
            </w:r>
          </w:p>
        </w:tc>
        <w:tc>
          <w:tcPr>
            <w:tcW w:w="19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1F332EE" w14:textId="77777777" w:rsidR="003151A7" w:rsidRDefault="00000000">
            <w:pPr>
              <w:spacing w:line="340" w:lineRule="auto"/>
            </w:pPr>
            <w:r>
              <w:rPr>
                <w:b/>
                <w:bCs/>
                <w:color w:val="1A1A2E"/>
                <w:sz w:val="18"/>
                <w:szCs w:val="18"/>
              </w:rPr>
              <w:t>School score distribution</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9F595CC" w14:textId="77777777" w:rsidR="003151A7" w:rsidRDefault="00000000">
            <w:pPr>
              <w:spacing w:line="340" w:lineRule="auto"/>
            </w:pPr>
            <w:r>
              <w:rPr>
                <w:color w:val="1A1A2E"/>
                <w:sz w:val="17"/>
                <w:szCs w:val="17"/>
              </w:rPr>
              <w:t>Animated dot plot — one dot per school on a vertical score axis, colored by borough. Reveals the full distribution across 409 schools.</w:t>
            </w:r>
          </w:p>
        </w:tc>
      </w:tr>
      <w:tr w:rsidR="003151A7" w14:paraId="1C8567E3"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09EAFE16" w14:textId="77777777" w:rsidR="003151A7" w:rsidRDefault="00000000">
            <w:pPr>
              <w:spacing w:line="340" w:lineRule="auto"/>
              <w:jc w:val="center"/>
            </w:pPr>
            <w:r>
              <w:rPr>
                <w:b/>
                <w:bCs/>
                <w:color w:val="1A1A2E"/>
                <w:sz w:val="18"/>
                <w:szCs w:val="18"/>
              </w:rPr>
              <w:t>3</w:t>
            </w:r>
          </w:p>
        </w:tc>
        <w:tc>
          <w:tcPr>
            <w:tcW w:w="19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172258CD" w14:textId="77777777" w:rsidR="003151A7" w:rsidRDefault="00000000">
            <w:pPr>
              <w:spacing w:line="340" w:lineRule="auto"/>
            </w:pPr>
            <w:r>
              <w:rPr>
                <w:b/>
                <w:bCs/>
                <w:color w:val="1A1A2E"/>
                <w:sz w:val="18"/>
                <w:szCs w:val="18"/>
              </w:rPr>
              <w:t>ICC reveal</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1BB57CE7" w14:textId="77777777" w:rsidR="003151A7" w:rsidRDefault="00000000">
            <w:pPr>
              <w:spacing w:line="340" w:lineRule="auto"/>
            </w:pPr>
            <w:r>
              <w:rPr>
                <w:color w:val="1A1A2E"/>
                <w:sz w:val="17"/>
                <w:szCs w:val="17"/>
              </w:rPr>
              <w:t>Schools regroup into 43 neighborhoods. Colored bands show between-neighborhood variance. "11–21% of the score variation lies between neighborhoods before knowing anything about the schools." Three exam tabs.</w:t>
            </w:r>
          </w:p>
        </w:tc>
      </w:tr>
      <w:tr w:rsidR="003151A7" w14:paraId="08DEF8D1"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4EF2B42" w14:textId="77777777" w:rsidR="003151A7" w:rsidRDefault="00000000">
            <w:pPr>
              <w:spacing w:line="340" w:lineRule="auto"/>
              <w:jc w:val="center"/>
            </w:pPr>
            <w:r>
              <w:rPr>
                <w:b/>
                <w:bCs/>
                <w:color w:val="1A1A2E"/>
                <w:sz w:val="18"/>
                <w:szCs w:val="18"/>
              </w:rPr>
              <w:t>4</w:t>
            </w:r>
          </w:p>
        </w:tc>
        <w:tc>
          <w:tcPr>
            <w:tcW w:w="19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65B5ADF" w14:textId="77777777" w:rsidR="003151A7" w:rsidRDefault="00000000">
            <w:pPr>
              <w:spacing w:line="340" w:lineRule="auto"/>
            </w:pPr>
            <w:r>
              <w:rPr>
                <w:b/>
                <w:bCs/>
                <w:color w:val="1A1A2E"/>
                <w:sz w:val="18"/>
                <w:szCs w:val="18"/>
              </w:rPr>
              <w:t>School composition effects</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19B9D2F6" w14:textId="77777777" w:rsidR="003151A7" w:rsidRDefault="00000000">
            <w:pPr>
              <w:spacing w:line="340" w:lineRule="auto"/>
            </w:pPr>
            <w:r>
              <w:rPr>
                <w:color w:val="1A1A2E"/>
                <w:sz w:val="17"/>
                <w:szCs w:val="17"/>
              </w:rPr>
              <w:t>Interactive scatter: x=EconDisadvantaged%, y=Mean Score. User switches x-axis to any Level 1 variable. Shows how much school-level compositional factors explain.</w:t>
            </w:r>
          </w:p>
        </w:tc>
      </w:tr>
      <w:tr w:rsidR="003151A7" w14:paraId="6AA54482"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6CFC2E68" w14:textId="77777777" w:rsidR="003151A7" w:rsidRDefault="00000000">
            <w:pPr>
              <w:spacing w:line="340" w:lineRule="auto"/>
              <w:jc w:val="center"/>
            </w:pPr>
            <w:r>
              <w:rPr>
                <w:b/>
                <w:bCs/>
                <w:color w:val="1A1A2E"/>
                <w:sz w:val="18"/>
                <w:szCs w:val="18"/>
              </w:rPr>
              <w:t>5</w:t>
            </w:r>
          </w:p>
        </w:tc>
        <w:tc>
          <w:tcPr>
            <w:tcW w:w="19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218D4CBC" w14:textId="77777777" w:rsidR="003151A7" w:rsidRDefault="00000000">
            <w:pPr>
              <w:spacing w:line="340" w:lineRule="auto"/>
            </w:pPr>
            <w:r>
              <w:rPr>
                <w:b/>
                <w:bCs/>
                <w:color w:val="1A1A2E"/>
                <w:sz w:val="18"/>
                <w:szCs w:val="18"/>
              </w:rPr>
              <w:t>Residual between-neighborhood variance</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44C59300" w14:textId="77777777" w:rsidR="003151A7" w:rsidRDefault="00000000">
            <w:pPr>
              <w:spacing w:line="340" w:lineRule="auto"/>
            </w:pPr>
            <w:r>
              <w:rPr>
                <w:color w:val="1A1A2E"/>
                <w:sz w:val="17"/>
                <w:szCs w:val="17"/>
              </w:rPr>
              <w:t>Choropleth of neighborhood residuals β₀j after Level 1 controls. Where schools over- and underperform relative to their composition.</w:t>
            </w:r>
          </w:p>
        </w:tc>
      </w:tr>
      <w:tr w:rsidR="003151A7" w14:paraId="217DF84F"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1422370" w14:textId="77777777" w:rsidR="003151A7" w:rsidRDefault="00000000">
            <w:pPr>
              <w:spacing w:line="340" w:lineRule="auto"/>
              <w:jc w:val="center"/>
            </w:pPr>
            <w:r>
              <w:rPr>
                <w:b/>
                <w:bCs/>
                <w:color w:val="1A1A2E"/>
                <w:sz w:val="18"/>
                <w:szCs w:val="18"/>
              </w:rPr>
              <w:t>6</w:t>
            </w:r>
          </w:p>
        </w:tc>
        <w:tc>
          <w:tcPr>
            <w:tcW w:w="19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41567553" w14:textId="77777777" w:rsidR="003151A7" w:rsidRDefault="00000000">
            <w:pPr>
              <w:spacing w:line="340" w:lineRule="auto"/>
            </w:pPr>
            <w:r>
              <w:rPr>
                <w:b/>
                <w:bCs/>
                <w:color w:val="1A1A2E"/>
                <w:sz w:val="18"/>
                <w:szCs w:val="18"/>
              </w:rPr>
              <w:t>NEQ policy context index</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2CDFD1BD" w14:textId="77777777" w:rsidR="003151A7" w:rsidRDefault="00000000">
            <w:pPr>
              <w:spacing w:line="340" w:lineRule="auto"/>
            </w:pPr>
            <w:r>
              <w:rPr>
                <w:color w:val="1A1A2E"/>
                <w:sz w:val="17"/>
                <w:szCs w:val="17"/>
              </w:rPr>
              <w:t>Animated construction: PLUTO zoning map → CommFAR layer → ResZone% layer → combine → color 43 neighborhoods 1–10. Hover for neighborhood detail.</w:t>
            </w:r>
          </w:p>
        </w:tc>
      </w:tr>
      <w:tr w:rsidR="003151A7" w14:paraId="2C3AAF8D"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78ABAE76" w14:textId="77777777" w:rsidR="003151A7" w:rsidRDefault="00000000">
            <w:pPr>
              <w:spacing w:line="340" w:lineRule="auto"/>
              <w:jc w:val="center"/>
            </w:pPr>
            <w:r>
              <w:rPr>
                <w:b/>
                <w:bCs/>
                <w:color w:val="1A1A2E"/>
                <w:sz w:val="18"/>
                <w:szCs w:val="18"/>
              </w:rPr>
              <w:t>7</w:t>
            </w:r>
          </w:p>
        </w:tc>
        <w:tc>
          <w:tcPr>
            <w:tcW w:w="19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6D50D4CF" w14:textId="77777777" w:rsidR="003151A7" w:rsidRDefault="00000000">
            <w:pPr>
              <w:spacing w:line="340" w:lineRule="auto"/>
            </w:pPr>
            <w:r>
              <w:rPr>
                <w:b/>
                <w:bCs/>
                <w:color w:val="1A1A2E"/>
                <w:sz w:val="18"/>
                <w:szCs w:val="18"/>
              </w:rPr>
              <w:t>The policy context result</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5100F16C" w14:textId="77777777" w:rsidR="003151A7" w:rsidRDefault="00000000">
            <w:pPr>
              <w:spacing w:line="340" w:lineRule="auto"/>
            </w:pPr>
            <w:r>
              <w:rPr>
                <w:color w:val="1A1A2E"/>
                <w:sz w:val="17"/>
                <w:szCs w:val="17"/>
              </w:rPr>
              <w:t>Three panels per exam. ELA and Living Env: scatter of NEQ vs β₀j with significant trend line. Algebra: flat. "Zoning policy context predicts ELA and science school baselines. Not math."</w:t>
            </w:r>
          </w:p>
        </w:tc>
      </w:tr>
      <w:tr w:rsidR="003151A7" w14:paraId="300882AB"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26D7C9A" w14:textId="77777777" w:rsidR="003151A7" w:rsidRDefault="00000000">
            <w:pPr>
              <w:spacing w:line="340" w:lineRule="auto"/>
              <w:jc w:val="center"/>
            </w:pPr>
            <w:r>
              <w:rPr>
                <w:b/>
                <w:bCs/>
                <w:color w:val="1A1A2E"/>
                <w:sz w:val="18"/>
                <w:szCs w:val="18"/>
              </w:rPr>
              <w:t>8</w:t>
            </w:r>
          </w:p>
        </w:tc>
        <w:tc>
          <w:tcPr>
            <w:tcW w:w="19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1D520B9F" w14:textId="77777777" w:rsidR="003151A7" w:rsidRDefault="00000000">
            <w:pPr>
              <w:spacing w:line="340" w:lineRule="auto"/>
            </w:pPr>
            <w:r>
              <w:rPr>
                <w:b/>
                <w:bCs/>
                <w:color w:val="1A1A2E"/>
                <w:sz w:val="18"/>
                <w:szCs w:val="18"/>
              </w:rPr>
              <w:t>The planning policy argument</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F9486E9" w14:textId="77777777" w:rsidR="003151A7" w:rsidRDefault="00000000">
            <w:pPr>
              <w:spacing w:line="340" w:lineRule="auto"/>
            </w:pPr>
            <w:r>
              <w:rPr>
                <w:color w:val="1A1A2E"/>
                <w:sz w:val="17"/>
                <w:szCs w:val="17"/>
              </w:rPr>
              <w:t>NYC map by NEQ + NYCCHA developments as circles sized by unit count. Shows the concentration of public housing in low-policy-context neighborhoods.</w:t>
            </w:r>
          </w:p>
        </w:tc>
      </w:tr>
      <w:tr w:rsidR="003151A7" w14:paraId="05CBB1D8"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5189B4DC" w14:textId="77777777" w:rsidR="003151A7" w:rsidRDefault="00000000">
            <w:pPr>
              <w:spacing w:line="340" w:lineRule="auto"/>
              <w:jc w:val="center"/>
            </w:pPr>
            <w:r>
              <w:rPr>
                <w:b/>
                <w:bCs/>
                <w:color w:val="1A1A2E"/>
                <w:sz w:val="18"/>
                <w:szCs w:val="18"/>
              </w:rPr>
              <w:t>9</w:t>
            </w:r>
          </w:p>
        </w:tc>
        <w:tc>
          <w:tcPr>
            <w:tcW w:w="1920" w:type="dxa"/>
            <w:tcBorders>
              <w:top w:val="single" w:sz="1" w:space="0" w:color="D1D9E8"/>
              <w:left w:val="single" w:sz="1" w:space="0" w:color="D1D9E8"/>
              <w:bottom w:val="single" w:sz="1" w:space="0" w:color="D1D9E8"/>
              <w:right w:val="single" w:sz="1" w:space="0" w:color="D1D9E8"/>
            </w:tcBorders>
            <w:shd w:val="clear" w:color="auto" w:fill="EBF4FF"/>
            <w:tcMar>
              <w:top w:w="100" w:type="dxa"/>
              <w:left w:w="140" w:type="dxa"/>
              <w:bottom w:w="100" w:type="dxa"/>
              <w:right w:w="140" w:type="dxa"/>
            </w:tcMar>
            <w:vAlign w:val="center"/>
          </w:tcPr>
          <w:p w14:paraId="2AEC347D" w14:textId="77777777" w:rsidR="003151A7" w:rsidRDefault="00000000">
            <w:pPr>
              <w:spacing w:line="340" w:lineRule="auto"/>
            </w:pPr>
            <w:r>
              <w:rPr>
                <w:b/>
                <w:bCs/>
                <w:color w:val="1A1A2E"/>
                <w:sz w:val="18"/>
                <w:szCs w:val="18"/>
              </w:rPr>
              <w:t>Policy implication slider</w:t>
            </w:r>
          </w:p>
        </w:tc>
        <w:tc>
          <w:tcPr>
            <w:tcW w:w="69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42A66DB6" w14:textId="77777777" w:rsidR="003151A7" w:rsidRDefault="00000000">
            <w:pPr>
              <w:spacing w:line="340" w:lineRule="auto"/>
            </w:pPr>
            <w:r>
              <w:rPr>
                <w:color w:val="1A1A2E"/>
                <w:sz w:val="17"/>
                <w:szCs w:val="17"/>
              </w:rPr>
              <w:t>Select a neighborhood. Slide NEQ up 1 SD → model predicts +1.18 ELA points. Framed as model prediction, not causal claim.</w:t>
            </w:r>
          </w:p>
        </w:tc>
      </w:tr>
      <w:tr w:rsidR="003151A7" w14:paraId="6E86B567" w14:textId="77777777">
        <w:tblPrEx>
          <w:tblCellMar>
            <w:top w:w="0" w:type="dxa"/>
            <w:bottom w:w="0" w:type="dxa"/>
          </w:tblCellMar>
        </w:tblPrEx>
        <w:tc>
          <w:tcPr>
            <w:tcW w:w="48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2724CF5" w14:textId="77777777" w:rsidR="003151A7" w:rsidRDefault="00000000">
            <w:pPr>
              <w:spacing w:line="340" w:lineRule="auto"/>
              <w:jc w:val="center"/>
            </w:pPr>
            <w:r>
              <w:rPr>
                <w:b/>
                <w:bCs/>
                <w:color w:val="1A1A2E"/>
                <w:sz w:val="18"/>
                <w:szCs w:val="18"/>
              </w:rPr>
              <w:t>10</w:t>
            </w:r>
          </w:p>
        </w:tc>
        <w:tc>
          <w:tcPr>
            <w:tcW w:w="192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5FF5AA0" w14:textId="77777777" w:rsidR="003151A7" w:rsidRDefault="00000000">
            <w:pPr>
              <w:spacing w:line="340" w:lineRule="auto"/>
            </w:pPr>
            <w:r>
              <w:rPr>
                <w:b/>
                <w:bCs/>
                <w:color w:val="1A1A2E"/>
                <w:sz w:val="18"/>
                <w:szCs w:val="18"/>
              </w:rPr>
              <w:t>Methodology transparency</w:t>
            </w:r>
          </w:p>
        </w:tc>
        <w:tc>
          <w:tcPr>
            <w:tcW w:w="69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50447D46" w14:textId="77777777" w:rsidR="003151A7" w:rsidRDefault="00000000">
            <w:pPr>
              <w:spacing w:line="340" w:lineRule="auto"/>
            </w:pPr>
            <w:r>
              <w:rPr>
                <w:color w:val="1A1A2E"/>
                <w:sz w:val="17"/>
                <w:szCs w:val="17"/>
              </w:rPr>
              <w:t>Expandable drawer: full variance decomposition with plain-language annotations for academic readers.</w:t>
            </w:r>
          </w:p>
        </w:tc>
      </w:tr>
    </w:tbl>
    <w:p w14:paraId="40EA1B7E" w14:textId="77777777" w:rsidR="003151A7" w:rsidRDefault="003151A7">
      <w:pPr>
        <w:spacing w:after="80"/>
      </w:pPr>
    </w:p>
    <w:p w14:paraId="702D79FA" w14:textId="77777777" w:rsidR="003151A7" w:rsidRDefault="00000000">
      <w:pPr>
        <w:spacing w:after="160" w:line="340" w:lineRule="auto"/>
      </w:pPr>
      <w:r>
        <w:rPr>
          <w:b/>
          <w:bCs/>
          <w:i/>
          <w:iCs/>
          <w:color w:val="64748B"/>
          <w:sz w:val="18"/>
          <w:szCs w:val="18"/>
        </w:rPr>
        <w:t xml:space="preserve">Note. </w:t>
      </w:r>
      <w:r>
        <w:rPr>
          <w:i/>
          <w:iCs/>
          <w:color w:val="64748B"/>
          <w:sz w:val="18"/>
          <w:szCs w:val="18"/>
        </w:rPr>
        <w:t>Build priority: Scenes 2, 3, 6, 7 (core analytical argument) → Scenes 4, 5, 8 (supporting evidence and planning argument) → Scenes 1, 9, 10 (framing, interaction, and transparency). Estimated build time: 4–6 weeks.</w:t>
      </w:r>
    </w:p>
    <w:p w14:paraId="1BAD576B" w14:textId="77777777" w:rsidR="003151A7" w:rsidRDefault="003151A7">
      <w:pPr>
        <w:spacing w:after="120"/>
      </w:pPr>
    </w:p>
    <w:p w14:paraId="63FF776A" w14:textId="77777777" w:rsidR="003151A7" w:rsidRDefault="00000000">
      <w:pPr>
        <w:pStyle w:val="Heading2"/>
      </w:pPr>
      <w:r>
        <w:t>8.1  Primary visualization plan</w:t>
      </w:r>
    </w:p>
    <w:p w14:paraId="5A950BA7" w14:textId="77777777" w:rsidR="003151A7" w:rsidRDefault="003151A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3560"/>
        <w:gridCol w:w="1400"/>
        <w:gridCol w:w="1600"/>
      </w:tblGrid>
      <w:tr w:rsidR="003151A7" w14:paraId="33D253D6"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22ECDFF5" w14:textId="77777777" w:rsidR="003151A7" w:rsidRDefault="00000000">
            <w:pPr>
              <w:spacing w:line="340" w:lineRule="auto"/>
              <w:jc w:val="center"/>
            </w:pPr>
            <w:r>
              <w:rPr>
                <w:b/>
                <w:bCs/>
                <w:color w:val="FFFFFF"/>
                <w:sz w:val="18"/>
                <w:szCs w:val="18"/>
              </w:rPr>
              <w:t>#</w:t>
            </w:r>
          </w:p>
        </w:tc>
        <w:tc>
          <w:tcPr>
            <w:tcW w:w="2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4588F1F" w14:textId="77777777" w:rsidR="003151A7" w:rsidRDefault="00000000">
            <w:pPr>
              <w:spacing w:line="340" w:lineRule="auto"/>
              <w:jc w:val="center"/>
            </w:pPr>
            <w:r>
              <w:rPr>
                <w:b/>
                <w:bCs/>
                <w:color w:val="FFFFFF"/>
                <w:sz w:val="18"/>
                <w:szCs w:val="18"/>
              </w:rPr>
              <w:t>Figure</w:t>
            </w:r>
          </w:p>
        </w:tc>
        <w:tc>
          <w:tcPr>
            <w:tcW w:w="356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04777F4B" w14:textId="77777777" w:rsidR="003151A7" w:rsidRDefault="00000000">
            <w:pPr>
              <w:spacing w:line="340" w:lineRule="auto"/>
              <w:jc w:val="center"/>
            </w:pPr>
            <w:r>
              <w:rPr>
                <w:b/>
                <w:bCs/>
                <w:color w:val="FFFFFF"/>
                <w:sz w:val="18"/>
                <w:szCs w:val="18"/>
              </w:rPr>
              <w:t>What it shows</w:t>
            </w:r>
          </w:p>
        </w:tc>
        <w:tc>
          <w:tcPr>
            <w:tcW w:w="14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75B0A6D" w14:textId="77777777" w:rsidR="003151A7" w:rsidRDefault="00000000">
            <w:pPr>
              <w:spacing w:line="340" w:lineRule="auto"/>
              <w:jc w:val="center"/>
            </w:pPr>
            <w:r>
              <w:rPr>
                <w:b/>
                <w:bCs/>
                <w:color w:val="FFFFFF"/>
                <w:sz w:val="18"/>
                <w:szCs w:val="18"/>
              </w:rPr>
              <w:t>Type</w:t>
            </w:r>
          </w:p>
        </w:tc>
        <w:tc>
          <w:tcPr>
            <w:tcW w:w="1600" w:type="dxa"/>
            <w:tcBorders>
              <w:top w:val="single" w:sz="1" w:space="0" w:color="D1D9E8"/>
              <w:left w:val="single" w:sz="1" w:space="0" w:color="D1D9E8"/>
              <w:bottom w:val="single" w:sz="1" w:space="0" w:color="D1D9E8"/>
              <w:right w:val="single" w:sz="1" w:space="0" w:color="D1D9E8"/>
            </w:tcBorders>
            <w:shd w:val="clear" w:color="auto" w:fill="0D2B5E"/>
            <w:tcMar>
              <w:top w:w="100" w:type="dxa"/>
              <w:left w:w="140" w:type="dxa"/>
              <w:bottom w:w="100" w:type="dxa"/>
              <w:right w:w="140" w:type="dxa"/>
            </w:tcMar>
            <w:vAlign w:val="center"/>
          </w:tcPr>
          <w:p w14:paraId="7AAC01E9" w14:textId="77777777" w:rsidR="003151A7" w:rsidRDefault="00000000">
            <w:pPr>
              <w:spacing w:line="340" w:lineRule="auto"/>
              <w:jc w:val="center"/>
            </w:pPr>
            <w:r>
              <w:rPr>
                <w:b/>
                <w:bCs/>
                <w:color w:val="FFFFFF"/>
                <w:sz w:val="18"/>
                <w:szCs w:val="18"/>
              </w:rPr>
              <w:t>Appears in</w:t>
            </w:r>
          </w:p>
        </w:tc>
      </w:tr>
      <w:tr w:rsidR="003151A7" w14:paraId="0AD7CF10"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6E70CE3" w14:textId="77777777" w:rsidR="003151A7" w:rsidRDefault="00000000">
            <w:pPr>
              <w:spacing w:line="340" w:lineRule="auto"/>
              <w:jc w:val="center"/>
            </w:pPr>
            <w:r>
              <w:rPr>
                <w:color w:val="1A1A2E"/>
                <w:sz w:val="18"/>
                <w:szCs w:val="18"/>
              </w:rPr>
              <w:t>1</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08E639A2" w14:textId="77777777" w:rsidR="003151A7" w:rsidRDefault="00000000">
            <w:pPr>
              <w:spacing w:line="340" w:lineRule="auto"/>
            </w:pPr>
            <w:r>
              <w:rPr>
                <w:b/>
                <w:bCs/>
                <w:color w:val="1A1A2E"/>
                <w:sz w:val="18"/>
                <w:szCs w:val="18"/>
              </w:rPr>
              <w:t>ICC — between-neighborhood variance</w:t>
            </w:r>
          </w:p>
        </w:tc>
        <w:tc>
          <w:tcPr>
            <w:tcW w:w="3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033DB52D" w14:textId="77777777" w:rsidR="003151A7" w:rsidRDefault="00000000">
            <w:pPr>
              <w:spacing w:line="340" w:lineRule="auto"/>
            </w:pPr>
            <w:r>
              <w:rPr>
                <w:color w:val="1A1A2E"/>
                <w:sz w:val="17"/>
                <w:szCs w:val="17"/>
              </w:rPr>
              <w:t>Stacked bar per exam: between-district variance (colored) vs. within-district (gray). Annotated with ICC %. Shows why HLM is warranted.</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15C3119" w14:textId="77777777" w:rsidR="003151A7" w:rsidRDefault="00000000">
            <w:pPr>
              <w:spacing w:line="340" w:lineRule="auto"/>
              <w:jc w:val="center"/>
            </w:pPr>
            <w:r>
              <w:rPr>
                <w:color w:val="1A1A2E"/>
                <w:sz w:val="18"/>
                <w:szCs w:val="18"/>
              </w:rPr>
              <w:t>Stacked bar</w:t>
            </w:r>
          </w:p>
        </w:tc>
        <w:tc>
          <w:tcPr>
            <w:tcW w:w="1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8D47D4C" w14:textId="77777777" w:rsidR="003151A7" w:rsidRDefault="00000000">
            <w:pPr>
              <w:spacing w:line="340" w:lineRule="auto"/>
              <w:jc w:val="center"/>
            </w:pPr>
            <w:r>
              <w:rPr>
                <w:color w:val="1A1A2E"/>
                <w:sz w:val="18"/>
                <w:szCs w:val="18"/>
              </w:rPr>
              <w:t>White paper + Scrolly 3</w:t>
            </w:r>
          </w:p>
        </w:tc>
      </w:tr>
      <w:tr w:rsidR="003151A7" w14:paraId="5C7A39FD"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42F556F" w14:textId="77777777" w:rsidR="003151A7" w:rsidRDefault="00000000">
            <w:pPr>
              <w:spacing w:line="340" w:lineRule="auto"/>
              <w:jc w:val="center"/>
            </w:pPr>
            <w:r>
              <w:rPr>
                <w:color w:val="1A1A2E"/>
                <w:sz w:val="18"/>
                <w:szCs w:val="18"/>
              </w:rPr>
              <w:t>2</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76ED34C6" w14:textId="77777777" w:rsidR="003151A7" w:rsidRDefault="00000000">
            <w:pPr>
              <w:spacing w:line="340" w:lineRule="auto"/>
            </w:pPr>
            <w:r>
              <w:rPr>
                <w:b/>
                <w:bCs/>
                <w:color w:val="1A1A2E"/>
                <w:sz w:val="18"/>
                <w:szCs w:val="18"/>
              </w:rPr>
              <w:t>Variance waterfall</w:t>
            </w:r>
          </w:p>
        </w:tc>
        <w:tc>
          <w:tcPr>
            <w:tcW w:w="3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050E8BA4" w14:textId="77777777" w:rsidR="003151A7" w:rsidRDefault="00000000">
            <w:pPr>
              <w:spacing w:line="340" w:lineRule="auto"/>
            </w:pPr>
            <w:r>
              <w:rPr>
                <w:color w:val="1A1A2E"/>
                <w:sz w:val="17"/>
                <w:szCs w:val="17"/>
              </w:rPr>
              <w:t>Three panels tracking Var(U₀j) from null → Level 1 → Level 1+NEQ. Algebra flat; ELA shows the policy context slice.</w:t>
            </w:r>
          </w:p>
        </w:tc>
        <w:tc>
          <w:tcPr>
            <w:tcW w:w="1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A0FC1DC" w14:textId="77777777" w:rsidR="003151A7" w:rsidRDefault="00000000">
            <w:pPr>
              <w:spacing w:line="340" w:lineRule="auto"/>
              <w:jc w:val="center"/>
            </w:pPr>
            <w:r>
              <w:rPr>
                <w:color w:val="1A1A2E"/>
                <w:sz w:val="18"/>
                <w:szCs w:val="18"/>
              </w:rPr>
              <w:t>Waterfall bar</w:t>
            </w:r>
          </w:p>
        </w:tc>
        <w:tc>
          <w:tcPr>
            <w:tcW w:w="1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98CDFFF" w14:textId="77777777" w:rsidR="003151A7" w:rsidRDefault="00000000">
            <w:pPr>
              <w:spacing w:line="340" w:lineRule="auto"/>
              <w:jc w:val="center"/>
            </w:pPr>
            <w:r>
              <w:rPr>
                <w:color w:val="1A1A2E"/>
                <w:sz w:val="18"/>
                <w:szCs w:val="18"/>
              </w:rPr>
              <w:t>White paper + Scrolly 5</w:t>
            </w:r>
          </w:p>
        </w:tc>
      </w:tr>
      <w:tr w:rsidR="003151A7" w14:paraId="599DDE8D"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580F7E84" w14:textId="77777777" w:rsidR="003151A7" w:rsidRDefault="00000000">
            <w:pPr>
              <w:spacing w:line="340" w:lineRule="auto"/>
              <w:jc w:val="center"/>
            </w:pPr>
            <w:r>
              <w:rPr>
                <w:color w:val="1A1A2E"/>
                <w:sz w:val="18"/>
                <w:szCs w:val="18"/>
              </w:rPr>
              <w:t>3</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5758576" w14:textId="77777777" w:rsidR="003151A7" w:rsidRDefault="00000000">
            <w:pPr>
              <w:spacing w:line="340" w:lineRule="auto"/>
            </w:pPr>
            <w:r>
              <w:rPr>
                <w:b/>
                <w:bCs/>
                <w:color w:val="1A1A2E"/>
                <w:sz w:val="18"/>
                <w:szCs w:val="18"/>
              </w:rPr>
              <w:t>NEQ vs. district residual — primary result</w:t>
            </w:r>
          </w:p>
        </w:tc>
        <w:tc>
          <w:tcPr>
            <w:tcW w:w="3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688DF534" w14:textId="77777777" w:rsidR="003151A7" w:rsidRDefault="00000000">
            <w:pPr>
              <w:spacing w:line="340" w:lineRule="auto"/>
            </w:pPr>
            <w:r>
              <w:rPr>
                <w:color w:val="1A1A2E"/>
                <w:sz w:val="17"/>
                <w:szCs w:val="17"/>
              </w:rPr>
              <w:t>Three-panel scatter: x=NEQ score (1–10), y=β₀j from Model 2. ELA and Living Env: positive slope. Algebra: flat. This is the central finding.</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904B6F7" w14:textId="77777777" w:rsidR="003151A7" w:rsidRDefault="00000000">
            <w:pPr>
              <w:spacing w:line="340" w:lineRule="auto"/>
              <w:jc w:val="center"/>
            </w:pPr>
            <w:r>
              <w:rPr>
                <w:color w:val="1A1A2E"/>
                <w:sz w:val="18"/>
                <w:szCs w:val="18"/>
              </w:rPr>
              <w:t>Scatter</w:t>
            </w:r>
          </w:p>
        </w:tc>
        <w:tc>
          <w:tcPr>
            <w:tcW w:w="1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34EBEADD" w14:textId="77777777" w:rsidR="003151A7" w:rsidRDefault="00000000">
            <w:pPr>
              <w:spacing w:line="340" w:lineRule="auto"/>
              <w:jc w:val="center"/>
            </w:pPr>
            <w:r>
              <w:rPr>
                <w:color w:val="1A1A2E"/>
                <w:sz w:val="18"/>
                <w:szCs w:val="18"/>
              </w:rPr>
              <w:t>White paper + Scrolly 7</w:t>
            </w:r>
          </w:p>
        </w:tc>
      </w:tr>
      <w:tr w:rsidR="003151A7" w14:paraId="4C491C67"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86F9EE4" w14:textId="77777777" w:rsidR="003151A7" w:rsidRDefault="00000000">
            <w:pPr>
              <w:spacing w:line="340" w:lineRule="auto"/>
              <w:jc w:val="center"/>
            </w:pPr>
            <w:r>
              <w:rPr>
                <w:color w:val="1A1A2E"/>
                <w:sz w:val="18"/>
                <w:szCs w:val="18"/>
              </w:rPr>
              <w:t>4</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0D2F583D" w14:textId="77777777" w:rsidR="003151A7" w:rsidRDefault="00000000">
            <w:pPr>
              <w:spacing w:line="340" w:lineRule="auto"/>
            </w:pPr>
            <w:r>
              <w:rPr>
                <w:b/>
                <w:bCs/>
                <w:color w:val="1A1A2E"/>
                <w:sz w:val="18"/>
                <w:szCs w:val="18"/>
              </w:rPr>
              <w:t>Coefficient forest plot</w:t>
            </w:r>
          </w:p>
        </w:tc>
        <w:tc>
          <w:tcPr>
            <w:tcW w:w="3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6C58D39B" w14:textId="77777777" w:rsidR="003151A7" w:rsidRDefault="00000000">
            <w:pPr>
              <w:spacing w:line="340" w:lineRule="auto"/>
            </w:pPr>
            <w:r>
              <w:rPr>
                <w:color w:val="1A1A2E"/>
                <w:sz w:val="17"/>
                <w:szCs w:val="17"/>
              </w:rPr>
              <w:t>One row per predictor, three columns per exam. Point=β, whiskers=95% CI. NEQ highlighted. Shows cross-subject subject-specificity.</w:t>
            </w:r>
          </w:p>
        </w:tc>
        <w:tc>
          <w:tcPr>
            <w:tcW w:w="1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26BACB09" w14:textId="77777777" w:rsidR="003151A7" w:rsidRDefault="00000000">
            <w:pPr>
              <w:spacing w:line="340" w:lineRule="auto"/>
              <w:jc w:val="center"/>
            </w:pPr>
            <w:r>
              <w:rPr>
                <w:color w:val="1A1A2E"/>
                <w:sz w:val="18"/>
                <w:szCs w:val="18"/>
              </w:rPr>
              <w:t>Forest plot</w:t>
            </w:r>
          </w:p>
        </w:tc>
        <w:tc>
          <w:tcPr>
            <w:tcW w:w="1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70BD722" w14:textId="77777777" w:rsidR="003151A7" w:rsidRDefault="00000000">
            <w:pPr>
              <w:spacing w:line="340" w:lineRule="auto"/>
              <w:jc w:val="center"/>
            </w:pPr>
            <w:r>
              <w:rPr>
                <w:color w:val="1A1A2E"/>
                <w:sz w:val="18"/>
                <w:szCs w:val="18"/>
              </w:rPr>
              <w:t>White paper</w:t>
            </w:r>
          </w:p>
        </w:tc>
      </w:tr>
      <w:tr w:rsidR="003151A7" w14:paraId="79968162"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2BD36839" w14:textId="77777777" w:rsidR="003151A7" w:rsidRDefault="00000000">
            <w:pPr>
              <w:spacing w:line="340" w:lineRule="auto"/>
              <w:jc w:val="center"/>
            </w:pPr>
            <w:r>
              <w:rPr>
                <w:color w:val="1A1A2E"/>
                <w:sz w:val="18"/>
                <w:szCs w:val="18"/>
              </w:rPr>
              <w:t>5</w:t>
            </w:r>
          </w:p>
        </w:tc>
        <w:tc>
          <w:tcPr>
            <w:tcW w:w="2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8520D26" w14:textId="77777777" w:rsidR="003151A7" w:rsidRDefault="00000000">
            <w:pPr>
              <w:spacing w:line="340" w:lineRule="auto"/>
            </w:pPr>
            <w:r>
              <w:rPr>
                <w:b/>
                <w:bCs/>
                <w:color w:val="1A1A2E"/>
                <w:sz w:val="18"/>
                <w:szCs w:val="18"/>
              </w:rPr>
              <w:t>NEQ choropleth — 43 districts</w:t>
            </w:r>
          </w:p>
        </w:tc>
        <w:tc>
          <w:tcPr>
            <w:tcW w:w="356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tcPr>
          <w:p w14:paraId="2ECF5EB8" w14:textId="77777777" w:rsidR="003151A7" w:rsidRDefault="00000000">
            <w:pPr>
              <w:spacing w:line="340" w:lineRule="auto"/>
            </w:pPr>
            <w:r>
              <w:rPr>
                <w:color w:val="1A1A2E"/>
                <w:sz w:val="17"/>
                <w:szCs w:val="17"/>
              </w:rPr>
              <w:t>NYC map colored by NEQ score 1–10. Shows geographic distribution of zoning policy context across the city.</w:t>
            </w:r>
          </w:p>
        </w:tc>
        <w:tc>
          <w:tcPr>
            <w:tcW w:w="14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6471929B" w14:textId="77777777" w:rsidR="003151A7" w:rsidRDefault="00000000">
            <w:pPr>
              <w:spacing w:line="340" w:lineRule="auto"/>
              <w:jc w:val="center"/>
            </w:pPr>
            <w:r>
              <w:rPr>
                <w:color w:val="1A1A2E"/>
                <w:sz w:val="18"/>
                <w:szCs w:val="18"/>
              </w:rPr>
              <w:t>Choropleth map</w:t>
            </w:r>
          </w:p>
        </w:tc>
        <w:tc>
          <w:tcPr>
            <w:tcW w:w="1600" w:type="dxa"/>
            <w:tcBorders>
              <w:top w:val="single" w:sz="1" w:space="0" w:color="D1D9E8"/>
              <w:left w:val="single" w:sz="1" w:space="0" w:color="D1D9E8"/>
              <w:bottom w:val="single" w:sz="1" w:space="0" w:color="D1D9E8"/>
              <w:right w:val="single" w:sz="1" w:space="0" w:color="D1D9E8"/>
            </w:tcBorders>
            <w:shd w:val="clear" w:color="auto" w:fill="F4F8FF"/>
            <w:tcMar>
              <w:top w:w="100" w:type="dxa"/>
              <w:left w:w="140" w:type="dxa"/>
              <w:bottom w:w="100" w:type="dxa"/>
              <w:right w:w="140" w:type="dxa"/>
            </w:tcMar>
            <w:vAlign w:val="center"/>
          </w:tcPr>
          <w:p w14:paraId="7412355F" w14:textId="77777777" w:rsidR="003151A7" w:rsidRDefault="00000000">
            <w:pPr>
              <w:spacing w:line="340" w:lineRule="auto"/>
              <w:jc w:val="center"/>
            </w:pPr>
            <w:r>
              <w:rPr>
                <w:color w:val="1A1A2E"/>
                <w:sz w:val="18"/>
                <w:szCs w:val="18"/>
              </w:rPr>
              <w:t>White paper + Scrolly 6</w:t>
            </w:r>
          </w:p>
        </w:tc>
      </w:tr>
      <w:tr w:rsidR="003151A7" w14:paraId="0B569E0F" w14:textId="77777777">
        <w:tblPrEx>
          <w:tblCellMar>
            <w:top w:w="0" w:type="dxa"/>
            <w:bottom w:w="0" w:type="dxa"/>
          </w:tblCellMar>
        </w:tblPrEx>
        <w:tc>
          <w:tcPr>
            <w:tcW w:w="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1DEE80D1" w14:textId="77777777" w:rsidR="003151A7" w:rsidRDefault="00000000">
            <w:pPr>
              <w:spacing w:line="340" w:lineRule="auto"/>
              <w:jc w:val="center"/>
            </w:pPr>
            <w:r>
              <w:rPr>
                <w:color w:val="1A1A2E"/>
                <w:sz w:val="18"/>
                <w:szCs w:val="18"/>
              </w:rPr>
              <w:t>6</w:t>
            </w:r>
          </w:p>
        </w:tc>
        <w:tc>
          <w:tcPr>
            <w:tcW w:w="2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61D0A146" w14:textId="77777777" w:rsidR="003151A7" w:rsidRDefault="00000000">
            <w:pPr>
              <w:spacing w:line="340" w:lineRule="auto"/>
            </w:pPr>
            <w:r>
              <w:rPr>
                <w:b/>
                <w:bCs/>
                <w:color w:val="1A1A2E"/>
                <w:sz w:val="18"/>
                <w:szCs w:val="18"/>
              </w:rPr>
              <w:t>Three-year γ₀₁ stability</w:t>
            </w:r>
          </w:p>
        </w:tc>
        <w:tc>
          <w:tcPr>
            <w:tcW w:w="356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tcPr>
          <w:p w14:paraId="1BC7E1FC" w14:textId="77777777" w:rsidR="003151A7" w:rsidRDefault="00000000">
            <w:pPr>
              <w:spacing w:line="340" w:lineRule="auto"/>
            </w:pPr>
            <w:r>
              <w:rPr>
                <w:color w:val="1A1A2E"/>
                <w:sz w:val="17"/>
                <w:szCs w:val="17"/>
              </w:rPr>
              <w:t>Connected dot plot: x=year (2022/2023/2024), y=γ₀₁. Three lines. ELA and Living Env consistently positive.</w:t>
            </w:r>
          </w:p>
        </w:tc>
        <w:tc>
          <w:tcPr>
            <w:tcW w:w="14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5E353512" w14:textId="77777777" w:rsidR="003151A7" w:rsidRDefault="00000000">
            <w:pPr>
              <w:spacing w:line="340" w:lineRule="auto"/>
              <w:jc w:val="center"/>
            </w:pPr>
            <w:r>
              <w:rPr>
                <w:color w:val="1A1A2E"/>
                <w:sz w:val="18"/>
                <w:szCs w:val="18"/>
              </w:rPr>
              <w:t>Dot plot</w:t>
            </w:r>
          </w:p>
        </w:tc>
        <w:tc>
          <w:tcPr>
            <w:tcW w:w="1600" w:type="dxa"/>
            <w:tcBorders>
              <w:top w:val="single" w:sz="1" w:space="0" w:color="D1D9E8"/>
              <w:left w:val="single" w:sz="1" w:space="0" w:color="D1D9E8"/>
              <w:bottom w:val="single" w:sz="1" w:space="0" w:color="D1D9E8"/>
              <w:right w:val="single" w:sz="1" w:space="0" w:color="D1D9E8"/>
            </w:tcBorders>
            <w:shd w:val="clear" w:color="auto" w:fill="FFFFFF"/>
            <w:tcMar>
              <w:top w:w="100" w:type="dxa"/>
              <w:left w:w="140" w:type="dxa"/>
              <w:bottom w:w="100" w:type="dxa"/>
              <w:right w:w="140" w:type="dxa"/>
            </w:tcMar>
            <w:vAlign w:val="center"/>
          </w:tcPr>
          <w:p w14:paraId="3A41DA0B" w14:textId="77777777" w:rsidR="003151A7" w:rsidRDefault="00000000">
            <w:pPr>
              <w:spacing w:line="340" w:lineRule="auto"/>
              <w:jc w:val="center"/>
            </w:pPr>
            <w:r>
              <w:rPr>
                <w:color w:val="1A1A2E"/>
                <w:sz w:val="18"/>
                <w:szCs w:val="18"/>
              </w:rPr>
              <w:t>White paper</w:t>
            </w:r>
          </w:p>
        </w:tc>
      </w:tr>
    </w:tbl>
    <w:p w14:paraId="14FA528F" w14:textId="77777777" w:rsidR="003151A7" w:rsidRDefault="003151A7">
      <w:pPr>
        <w:spacing w:after="160"/>
      </w:pPr>
    </w:p>
    <w:p w14:paraId="623DF8C3" w14:textId="77777777" w:rsidR="003151A7" w:rsidRDefault="003151A7">
      <w:pPr>
        <w:pBdr>
          <w:bottom w:val="single" w:sz="6" w:space="1" w:color="1A56C4"/>
        </w:pBdr>
        <w:spacing w:before="60" w:after="60"/>
      </w:pPr>
    </w:p>
    <w:p w14:paraId="7E7D2F3F" w14:textId="77777777" w:rsidR="003151A7" w:rsidRDefault="003151A7">
      <w:pPr>
        <w:spacing w:after="80"/>
      </w:pPr>
    </w:p>
    <w:p w14:paraId="238A7EFF" w14:textId="77777777" w:rsidR="003151A7" w:rsidRDefault="00000000">
      <w:pPr>
        <w:spacing w:after="40" w:line="400" w:lineRule="auto"/>
        <w:jc w:val="center"/>
      </w:pPr>
      <w:r>
        <w:rPr>
          <w:i/>
          <w:iCs/>
          <w:color w:val="64748B"/>
          <w:sz w:val="18"/>
          <w:szCs w:val="18"/>
        </w:rPr>
        <w:t>Behind the Score  ·  Urban Policy Context and Regents Exam Performance in NYC Public High Schools</w:t>
      </w:r>
    </w:p>
    <w:p w14:paraId="7DE342A4" w14:textId="77777777" w:rsidR="003151A7" w:rsidRDefault="00000000">
      <w:pPr>
        <w:pageBreakBefore/>
      </w:pPr>
    </w:p>
    <w:p w14:paraId="396A4613" w14:textId="77777777" w:rsidR="003151A7" w:rsidRDefault="00000000">
      <w:pPr>
        <w:pStyle w:val="Heading1"/>
        <w:spacing w:before="440" w:after="120"/>
      </w:pPr>
      <w:r>
        <w:t>9.  Extended Robustness: Environmental Policy Context</w:t>
      </w:r>
    </w:p>
    <w:p w14:paraId="54B8052D" w14:textId="77777777" w:rsidR="003151A7" w:rsidRDefault="00000000">
      <w:pPr>
        <w:spacing w:after="180" w:line="400" w:lineRule="auto"/>
      </w:pPr>
      <w:r>
        <w:t xml:space="preserve">Following the primary analysis, three additional datasets were incorporated to test whether environmental and infrastructure policy variables — independent of the zoning-based NEQ index — explain additional between-neighborhood variation in school performance. The three datasets are: (1) NYC Department of Buildings (DOB) active building permits 2020–2026 (851,067 records), aggregated to community district as a measure of development activity; (2) NYC street centerline shapefile (54,061 segments), used to calculate each school’s distance to the nearest major highway; and (3) NYC DOHMH Air Quality Surveillance data (NTA level), providing PM2.5 and NO2 annual averages by community district. These represent Tier 1 policy-upstream variables with theoretically documented links to school performance through air quality exposure, chronic noise, and neighborhood investment activity.</w:t>
      </w:r>
    </w:p>
    <w:p w14:paraId="2BC51189" w14:textId="77777777" w:rsidR="003151A7" w:rsidRDefault="00000000">
      <w:pPr>
        <w:pStyle w:val="Heading2"/>
        <w:spacing w:before="300" w:after="100"/>
      </w:pPr>
      <w:r>
        <w:t>9.1  New data sources and variable construction</w:t>
      </w:r>
    </w:p>
    <w:tbl>
      <w:tblPr>
        <w:tblStyle w:val="TableGrid"/>
        <w:tblW w:w="9360" w:type="dxa"/>
        <w:tblBorders>
          <w:top w:val="single" w:sz="4" w:space="0" w:color="D1D9E8"/>
          <w:left w:val="single" w:sz="4" w:space="0" w:color="D1D9E8"/>
          <w:bottom w:val="single" w:sz="4" w:space="0" w:color="D1D9E8"/>
          <w:right w:val="single" w:sz="4" w:space="0" w:color="D1D9E8"/>
          <w:insideH w:val="single" w:sz="4" w:space="0" w:color="D1D9E8"/>
          <w:insideV w:val="single" w:sz="4" w:space="0" w:color="D1D9E8"/>
        </w:tblBorders>
      </w:tblPr>
      <w:tblGrid>
        <w:gridCol w:w="2400"/>
        <w:gridCol w:w="1800"/>
        <w:gridCol w:w="1800"/>
        <w:gridCol w:w="3360"/>
      </w:tblGrid>
      <w:tr>
        <w:trPr>
          <w:tblHeader/>
          <w:shd w:val="clear" w:color="auto" w:fill="0D2B5E"/>
        </w:trPr>
        <w:tc>
          <w:tcPr>
            <w:tcW w:w="2400" w:type="dxa"/>
            <w:shd w:val="clear" w:color="auto" w:fill="0D2B5E"/>
            <w:tcMar>
              <w:top w:w="80" w:type="dxa"/>
              <w:bottom w:w="80" w:type="dxa"/>
              <w:left w:w="120" w:type="dxa"/>
              <w:right w:w="120" w:type="dxa"/>
            </w:tcMar>
          </w:tcPr>
          <w:p>
            <w:pPr>
              <w:spacing w:after="0"/>
            </w:pPr>
            <w:r>
              <w:rPr>
                <w:b/>
                <w:color w:val="FFFFFF"/>
                <w:sz w:val="18"/>
              </w:rPr>
              <w:t>Dataset</w:t>
            </w:r>
          </w:p>
        </w:tc>
        <w:tc>
          <w:tcPr>
            <w:tcW w:w="1800" w:type="dxa"/>
            <w:shd w:val="clear" w:color="auto" w:fill="0D2B5E"/>
            <w:tcMar>
              <w:top w:w="80" w:type="dxa"/>
              <w:bottom w:w="80" w:type="dxa"/>
              <w:left w:w="120" w:type="dxa"/>
              <w:right w:w="120" w:type="dxa"/>
            </w:tcMar>
          </w:tcPr>
          <w:p>
            <w:pPr>
              <w:spacing w:after="0"/>
              <w:jc w:val="center"/>
            </w:pPr>
            <w:r>
              <w:rPr>
                <w:b/>
                <w:color w:val="FFFFFF"/>
                <w:sz w:val="18"/>
              </w:rPr>
              <w:t>Variable constructed</w:t>
            </w:r>
          </w:p>
        </w:tc>
        <w:tc>
          <w:tcPr>
            <w:tcW w:w="1800" w:type="dxa"/>
            <w:shd w:val="clear" w:color="auto" w:fill="0D2B5E"/>
            <w:tcMar>
              <w:top w:w="80" w:type="dxa"/>
              <w:bottom w:w="80" w:type="dxa"/>
              <w:left w:w="120" w:type="dxa"/>
              <w:right w:w="120" w:type="dxa"/>
            </w:tcMar>
          </w:tcPr>
          <w:p>
            <w:pPr>
              <w:spacing w:after="0"/>
              <w:jc w:val="center"/>
            </w:pPr>
            <w:r>
              <w:rPr>
                <w:b/>
                <w:color w:val="FFFFFF"/>
                <w:sz w:val="18"/>
              </w:rPr>
              <w:t>Records</w:t>
            </w:r>
          </w:p>
        </w:tc>
        <w:tc>
          <w:tcPr>
            <w:tcW w:w="3360" w:type="dxa"/>
            <w:shd w:val="clear" w:color="auto" w:fill="0D2B5E"/>
            <w:tcMar>
              <w:top w:w="80" w:type="dxa"/>
              <w:bottom w:w="80" w:type="dxa"/>
              <w:left w:w="120" w:type="dxa"/>
              <w:right w:w="120" w:type="dxa"/>
            </w:tcMar>
          </w:tcPr>
          <w:p>
            <w:pPr>
              <w:spacing w:after="0"/>
            </w:pPr>
            <w:r>
              <w:rPr>
                <w:b/>
                <w:color w:val="FFFFFF"/>
                <w:sz w:val="18"/>
              </w:rPr>
              <w:t>Policy mechanism rationale</w:t>
            </w:r>
          </w:p>
        </w:tc>
      </w:tr>
      <w:tr>
        <w:tc>
          <w:tcPr>
            <w:tcW w:w="2400" w:type="dxa"/>
            <w:shd w:val="clear" w:color="auto" w:fill="EBF4FF"/>
            <w:tcMar>
              <w:top w:w="80" w:type="dxa"/>
              <w:bottom w:w="80" w:type="dxa"/>
              <w:left w:w="120" w:type="dxa"/>
              <w:right w:w="120" w:type="dxa"/>
            </w:tcMar>
          </w:tcPr>
          <w:p>
            <w:pPr>
              <w:spacing w:after="0"/>
            </w:pPr>
            <w:r>
              <w:rPr>
                <w:b/>
                <w:sz w:val="18"/>
              </w:rPr>
              <w:t>NYC DOB Active Permits 2020–2026</w:t>
            </w:r>
          </w:p>
        </w:tc>
        <w:tc>
          <w:tcPr>
            <w:tcW w:w="1800" w:type="dxa"/>
            <w:tcMar>
              <w:top w:w="80" w:type="dxa"/>
              <w:bottom w:w="80" w:type="dxa"/>
              <w:left w:w="120" w:type="dxa"/>
              <w:right w:w="120" w:type="dxa"/>
            </w:tcMar>
          </w:tcPr>
          <w:p>
            <w:pPr>
              <w:spacing w:after="0"/>
              <w:jc w:val="center"/>
            </w:pPr>
            <w:r>
              <w:rPr>
                <w:sz w:val="18"/>
              </w:rPr>
              <w:t>log(permit count) per CD</w:t>
            </w:r>
          </w:p>
        </w:tc>
        <w:tc>
          <w:tcPr>
            <w:tcW w:w="1800" w:type="dxa"/>
            <w:tcMar>
              <w:top w:w="80" w:type="dxa"/>
              <w:bottom w:w="80" w:type="dxa"/>
              <w:left w:w="120" w:type="dxa"/>
              <w:right w:w="120" w:type="dxa"/>
            </w:tcMar>
          </w:tcPr>
          <w:p>
            <w:pPr>
              <w:spacing w:after="0"/>
              <w:jc w:val="center"/>
            </w:pPr>
            <w:r>
              <w:rPr>
                <w:sz w:val="18"/>
              </w:rPr>
              <w:t>851,067</w:t>
            </w:r>
          </w:p>
        </w:tc>
        <w:tc>
          <w:tcPr>
            <w:tcW w:w="3360" w:type="dxa"/>
            <w:tcMar>
              <w:top w:w="80" w:type="dxa"/>
              <w:bottom w:w="80" w:type="dxa"/>
              <w:left w:w="120" w:type="dxa"/>
              <w:right w:w="120" w:type="dxa"/>
            </w:tcMar>
          </w:tcPr>
          <w:p>
            <w:pPr>
              <w:spacing w:after="0"/>
            </w:pPr>
            <w:r>
              <w:rPr>
                <w:sz w:val="18"/>
              </w:rPr>
              <w:t>Development activity reflects realized investment downstream of zoning permissions. High permit volume signals active construction and economic reinvestment.</w:t>
            </w:r>
          </w:p>
        </w:tc>
      </w:tr>
      <w:tr>
        <w:tc>
          <w:tcPr>
            <w:tcW w:w="2400" w:type="dxa"/>
            <w:shd w:val="clear" w:color="auto" w:fill="F4F8FF"/>
            <w:tcMar>
              <w:top w:w="80" w:type="dxa"/>
              <w:bottom w:w="80" w:type="dxa"/>
              <w:left w:w="120" w:type="dxa"/>
              <w:right w:w="120" w:type="dxa"/>
            </w:tcMar>
          </w:tcPr>
          <w:p>
            <w:pPr>
              <w:spacing w:after="0"/>
            </w:pPr>
            <w:r>
              <w:rPr>
                <w:b/>
                <w:sz w:val="18"/>
              </w:rPr>
              <w:t>NYC Street Centerline (LION)</w:t>
            </w:r>
          </w:p>
        </w:tc>
        <w:tc>
          <w:tcPr>
            <w:tcW w:w="1800" w:type="dxa"/>
            <w:tcMar>
              <w:top w:w="80" w:type="dxa"/>
              <w:bottom w:w="80" w:type="dxa"/>
              <w:left w:w="120" w:type="dxa"/>
              <w:right w:w="120" w:type="dxa"/>
            </w:tcMar>
          </w:tcPr>
          <w:p>
            <w:pPr>
              <w:spacing w:after="0"/>
              <w:jc w:val="center"/>
            </w:pPr>
            <w:r>
              <w:rPr>
                <w:sz w:val="18"/>
              </w:rPr>
              <w:t>Mean school-to-highway distance (miles) per CD</w:t>
            </w:r>
          </w:p>
        </w:tc>
        <w:tc>
          <w:tcPr>
            <w:tcW w:w="1800" w:type="dxa"/>
            <w:tcMar>
              <w:top w:w="80" w:type="dxa"/>
              <w:bottom w:w="80" w:type="dxa"/>
              <w:left w:w="120" w:type="dxa"/>
              <w:right w:w="120" w:type="dxa"/>
            </w:tcMar>
          </w:tcPr>
          <w:p>
            <w:pPr>
              <w:spacing w:after="0"/>
              <w:jc w:val="center"/>
            </w:pPr>
            <w:r>
              <w:rPr>
                <w:sz w:val="18"/>
              </w:rPr>
              <w:t>54,061 segments; 370 highway segments identified</w:t>
            </w:r>
          </w:p>
        </w:tc>
        <w:tc>
          <w:tcPr>
            <w:tcW w:w="3360" w:type="dxa"/>
            <w:tcMar>
              <w:top w:w="80" w:type="dxa"/>
              <w:bottom w:w="80" w:type="dxa"/>
              <w:left w:w="120" w:type="dxa"/>
              <w:right w:w="120" w:type="dxa"/>
            </w:tcMar>
          </w:tcPr>
          <w:p>
            <w:pPr>
              <w:spacing w:after="0"/>
            </w:pPr>
            <w:r>
              <w:rPr>
                <w:sz w:val="18"/>
              </w:rPr>
              <w:t>Highway routing is a direct state and city infrastructure decision. Proximity is associated with chronic noise and diesel particulate exposure — both with documented cognitive effects on school-age children. 59 of 409 schools (14%) sit within 0.25 miles of a major highway.</w:t>
            </w:r>
          </w:p>
        </w:tc>
      </w:tr>
      <w:tr>
        <w:tc>
          <w:tcPr>
            <w:tcW w:w="2400" w:type="dxa"/>
            <w:shd w:val="clear" w:color="auto" w:fill="EBF4FF"/>
            <w:tcMar>
              <w:top w:w="80" w:type="dxa"/>
              <w:bottom w:w="80" w:type="dxa"/>
              <w:left w:w="120" w:type="dxa"/>
              <w:right w:w="120" w:type="dxa"/>
            </w:tcMar>
          </w:tcPr>
          <w:p>
            <w:pPr>
              <w:spacing w:after="0"/>
            </w:pPr>
            <w:r>
              <w:rPr>
                <w:b/>
                <w:sz w:val="18"/>
              </w:rPr>
              <w:t>NYC DOHMH Air Quality Surveillance (NTA level)</w:t>
            </w:r>
          </w:p>
        </w:tc>
        <w:tc>
          <w:tcPr>
            <w:tcW w:w="1800" w:type="dxa"/>
            <w:tcMar>
              <w:top w:w="80" w:type="dxa"/>
              <w:bottom w:w="80" w:type="dxa"/>
              <w:left w:w="120" w:type="dxa"/>
              <w:right w:w="120" w:type="dxa"/>
            </w:tcMar>
          </w:tcPr>
          <w:p>
            <w:pPr>
              <w:spacing w:after="0"/>
              <w:jc w:val="center"/>
            </w:pPr>
            <w:r>
              <w:rPr>
                <w:sz w:val="18"/>
              </w:rPr>
              <w:t>PM2.5 and NO2 annual mean per CD</w:t>
            </w:r>
          </w:p>
        </w:tc>
        <w:tc>
          <w:tcPr>
            <w:tcW w:w="1800" w:type="dxa"/>
            <w:tcMar>
              <w:top w:w="80" w:type="dxa"/>
              <w:bottom w:w="80" w:type="dxa"/>
              <w:left w:w="120" w:type="dxa"/>
              <w:right w:w="120" w:type="dxa"/>
            </w:tcMar>
          </w:tcPr>
          <w:p>
            <w:pPr>
              <w:spacing w:after="0"/>
              <w:jc w:val="center"/>
            </w:pPr>
            <w:r>
              <w:rPr>
                <w:sz w:val="18"/>
              </w:rPr>
              <w:t>262 NTAs aggregated to 43 CDs</w:t>
            </w:r>
          </w:p>
        </w:tc>
        <w:tc>
          <w:tcPr>
            <w:tcW w:w="3360" w:type="dxa"/>
            <w:tcMar>
              <w:top w:w="80" w:type="dxa"/>
              <w:bottom w:w="80" w:type="dxa"/>
              <w:left w:w="120" w:type="dxa"/>
              <w:right w:w="120" w:type="dxa"/>
            </w:tcMar>
          </w:tcPr>
          <w:p>
            <w:pPr>
              <w:spacing w:after="0"/>
            </w:pPr>
            <w:r>
              <w:rPr>
                <w:sz w:val="18"/>
              </w:rPr>
              <w:t>PM2.5 particulates cross the blood-brain barrier; NO2 is a marker of traffic-related air pollution. Both are outputs of land use and infrastructure decisions. PM2.5 range in this sample: 6.05 (Port Richmond) to 8.32 (Chelsea–Clinton) μg/m³.</w:t>
            </w:r>
          </w:p>
        </w:tc>
      </w:tr>
    </w:tbl>
    <w:p w14:paraId="6894B40B" w14:textId="77777777" w:rsidR="003151A7" w:rsidRDefault="00000000">
      <w:pPr>
        <w:spacing w:after="80"/>
      </w:pPr>
    </w:p>
    <w:p w14:paraId="724F8CD4" w14:textId="77777777" w:rsidR="003151A7" w:rsidRDefault="00000000">
      <w:pPr>
        <w:pStyle w:val="Heading2"/>
        <w:spacing w:before="300" w:after="100"/>
      </w:pPr>
      <w:r>
        <w:t>9.2  Composite index specifications tested</w:t>
      </w:r>
    </w:p>
    <w:p w14:paraId="61035F8E" w14:textId="77777777" w:rsidR="003151A7" w:rsidRDefault="00000000">
      <w:pPr>
        <w:spacing w:after="180" w:line="400" w:lineRule="auto"/>
      </w:pPr>
      <w:r>
        <w:t xml:space="preserve">Three expanded composite index specifications were constructed and tested against the primary two-component NEQ (CommFAR + ResZone%). Each followed the same construction method: z-score each component, sum, rescale to 1–10, then z-score for regression entry.</w:t>
      </w:r>
    </w:p>
    <w:tbl>
      <w:tblPr>
        <w:tblStyle w:val="TableGrid"/>
        <w:tblW w:w="9360" w:type="dxa"/>
        <w:tblBorders>
          <w:top w:val="single" w:sz="4" w:space="0" w:color="D1D9E8"/>
          <w:left w:val="single" w:sz="4" w:space="0" w:color="D1D9E8"/>
          <w:bottom w:val="single" w:sz="4" w:space="0" w:color="D1D9E8"/>
          <w:right w:val="single" w:sz="4" w:space="0" w:color="D1D9E8"/>
          <w:insideH w:val="single" w:sz="4" w:space="0" w:color="D1D9E8"/>
          <w:insideV w:val="single" w:sz="4" w:space="0" w:color="D1D9E8"/>
        </w:tblBorders>
      </w:tblPr>
      <w:tblGrid>
        <w:gridCol w:w="1400"/>
        <w:gridCol w:w="3560"/>
        <w:gridCol w:w="1200"/>
        <w:gridCol w:w="1200"/>
        <w:gridCol w:w="2000"/>
      </w:tblGrid>
      <w:tr>
        <w:trPr>
          <w:tblHeader/>
        </w:trPr>
        <w:tc>
          <w:tcPr>
            <w:tcW w:w="1400" w:type="dxa"/>
            <w:tcMar>
              <w:top w:w="80" w:type="dxa"/>
              <w:bottom w:w="80" w:type="dxa"/>
              <w:left w:w="120" w:type="dxa"/>
              <w:right w:w="120" w:type="dxa"/>
            </w:tcMar>
          </w:tcPr>
          <w:p>
            <w:pPr>
              <w:spacing w:after="0"/>
            </w:pPr>
            <w:r>
              <w:rPr>
                <w:b/>
                <w:color w:val="FFFFFF"/>
                <w:sz w:val="18"/>
              </w:rPr>
              <w:t>Specification</w:t>
            </w:r>
          </w:p>
        </w:tc>
        <w:tc>
          <w:tcPr>
            <w:tcW w:w="3560" w:type="dxa"/>
            <w:shd w:val="clear" w:color="auto" w:fill="0D2B5E"/>
            <w:tcMar>
              <w:top w:w="80" w:type="dxa"/>
              <w:bottom w:w="80" w:type="dxa"/>
              <w:left w:w="120" w:type="dxa"/>
              <w:right w:w="120" w:type="dxa"/>
            </w:tcMar>
          </w:tcPr>
          <w:p>
            <w:pPr>
              <w:spacing w:after="0"/>
            </w:pPr>
            <w:r>
              <w:rPr>
                <w:b/>
                <w:color w:val="FFFFFF"/>
                <w:sz w:val="18"/>
              </w:rPr>
              <w:t>Components</w:t>
            </w:r>
          </w:p>
        </w:tc>
        <w:tc>
          <w:tcPr>
            <w:tcW w:w="1200" w:type="dxa"/>
            <w:shd w:val="clear" w:color="auto" w:fill="0D2B5E"/>
            <w:tcMar>
              <w:top w:w="80" w:type="dxa"/>
              <w:bottom w:w="80" w:type="dxa"/>
              <w:left w:w="120" w:type="dxa"/>
              <w:right w:w="120" w:type="dxa"/>
            </w:tcMar>
          </w:tcPr>
          <w:p>
            <w:pPr>
              <w:spacing w:after="0"/>
              <w:jc w:val="center"/>
            </w:pPr>
            <w:r>
              <w:rPr>
                <w:b/>
                <w:color w:val="FFFFFF"/>
                <w:sz w:val="18"/>
              </w:rPr>
              <w:t>ELA γ₀₁</w:t>
            </w:r>
          </w:p>
        </w:tc>
        <w:tc>
          <w:tcPr>
            <w:tcW w:w="1200" w:type="dxa"/>
            <w:shd w:val="clear" w:color="auto" w:fill="0D2B5E"/>
            <w:tcMar>
              <w:top w:w="80" w:type="dxa"/>
              <w:bottom w:w="80" w:type="dxa"/>
              <w:left w:w="120" w:type="dxa"/>
              <w:right w:w="120" w:type="dxa"/>
            </w:tcMar>
          </w:tcPr>
          <w:p>
            <w:pPr>
              <w:spacing w:after="0"/>
              <w:jc w:val="center"/>
            </w:pPr>
            <w:r>
              <w:rPr>
                <w:b/>
                <w:color w:val="FFFFFF"/>
                <w:sz w:val="18"/>
              </w:rPr>
              <w:t>Sci γ₀₁</w:t>
            </w:r>
          </w:p>
        </w:tc>
        <w:tc>
          <w:tcPr>
            <w:tcW w:w="2000" w:type="dxa"/>
            <w:shd w:val="clear" w:color="auto" w:fill="0D2B5E"/>
            <w:tcMar>
              <w:top w:w="80" w:type="dxa"/>
              <w:bottom w:w="80" w:type="dxa"/>
              <w:left w:w="120" w:type="dxa"/>
              <w:right w:w="120" w:type="dxa"/>
            </w:tcMar>
          </w:tcPr>
          <w:p>
            <w:pPr>
              <w:spacing w:after="0"/>
            </w:pPr>
            <w:r>
              <w:rPr>
                <w:b/>
                <w:color w:val="FFFFFF"/>
                <w:sz w:val="18"/>
              </w:rPr>
              <w:t>Conclusion</w:t>
            </w:r>
          </w:p>
        </w:tc>
      </w:tr>
      <w:tr>
        <w:tc>
          <w:tcPr>
            <w:tcW w:w="1400" w:type="dxa"/>
            <w:shd w:val="clear" w:color="auto" w:fill="E6F4EA"/>
            <w:tcMar>
              <w:top w:w="80" w:type="dxa"/>
              <w:bottom w:w="80" w:type="dxa"/>
              <w:left w:w="120" w:type="dxa"/>
              <w:right w:w="120" w:type="dxa"/>
            </w:tcMar>
          </w:tcPr>
          <w:p>
            <w:pPr>
              <w:spacing w:after="0"/>
            </w:pPr>
            <w:r>
              <w:rPr>
                <w:b/>
                <w:color w:val="1E6B3C"/>
                <w:sz w:val="18"/>
              </w:rPr>
              <w:t>PRIMARY ✓</w:t>
            </w:r>
          </w:p>
        </w:tc>
        <w:tc>
          <w:tcPr>
            <w:tcW w:w="3560" w:type="dxa"/>
            <w:shd w:val="clear" w:color="auto" w:fill="E6F4EA"/>
            <w:tcMar>
              <w:top w:w="80" w:type="dxa"/>
              <w:bottom w:w="80" w:type="dxa"/>
              <w:left w:w="120" w:type="dxa"/>
              <w:right w:w="120" w:type="dxa"/>
            </w:tcMar>
          </w:tcPr>
          <w:p>
            <w:pPr>
              <w:spacing w:after="0"/>
            </w:pPr>
            <w:r>
              <w:rPr>
                <w:color w:val="1E6B3C"/>
                <w:sz w:val="18"/>
              </w:rPr>
              <w:t>CommFAR (z) + ResZone% (flipped, z)</w:t>
            </w:r>
          </w:p>
        </w:tc>
        <w:tc>
          <w:tcPr>
            <w:tcW w:w="1200" w:type="dxa"/>
            <w:shd w:val="clear" w:color="auto" w:fill="E6F4EA"/>
            <w:tcMar>
              <w:top w:w="80" w:type="dxa"/>
              <w:bottom w:w="80" w:type="dxa"/>
              <w:left w:w="120" w:type="dxa"/>
              <w:right w:w="120" w:type="dxa"/>
            </w:tcMar>
          </w:tcPr>
          <w:p>
            <w:pPr>
              <w:spacing w:after="0"/>
              <w:jc w:val="center"/>
            </w:pPr>
            <w:r>
              <w:rPr>
                <w:b/>
                <w:color w:val="1E6B3C"/>
                <w:sz w:val="18"/>
              </w:rPr>
              <w:t>+1.180 ★★</w:t>
            </w:r>
          </w:p>
        </w:tc>
        <w:tc>
          <w:tcPr>
            <w:tcW w:w="1200" w:type="dxa"/>
            <w:shd w:val="clear" w:color="auto" w:fill="E6F4EA"/>
            <w:tcMar>
              <w:top w:w="80" w:type="dxa"/>
              <w:bottom w:w="80" w:type="dxa"/>
              <w:left w:w="120" w:type="dxa"/>
              <w:right w:w="120" w:type="dxa"/>
            </w:tcMar>
          </w:tcPr>
          <w:p>
            <w:pPr>
              <w:spacing w:after="0"/>
              <w:jc w:val="center"/>
            </w:pPr>
            <w:r>
              <w:rPr>
                <w:b/>
                <w:color w:val="1E6B3C"/>
                <w:sz w:val="18"/>
              </w:rPr>
              <w:t>+0.931 ★★</w:t>
            </w:r>
          </w:p>
        </w:tc>
        <w:tc>
          <w:tcPr>
            <w:tcW w:w="2000" w:type="dxa"/>
            <w:shd w:val="clear" w:color="auto" w:fill="E6F4EA"/>
            <w:tcMar>
              <w:top w:w="80" w:type="dxa"/>
              <w:bottom w:w="80" w:type="dxa"/>
              <w:left w:w="120" w:type="dxa"/>
              <w:right w:w="120" w:type="dxa"/>
            </w:tcMar>
          </w:tcPr>
          <w:p>
            <w:pPr>
              <w:spacing w:after="0"/>
            </w:pPr>
            <w:r>
              <w:rPr>
                <w:b/>
                <w:color w:val="1E6B3C"/>
                <w:sz w:val="18"/>
              </w:rPr>
              <w:t>Strongest and cleanest specification</w:t>
            </w:r>
          </w:p>
        </w:tc>
      </w:tr>
      <w:tr>
        <w:tc>
          <w:tcPr>
            <w:tcW w:w="1400" w:type="dxa"/>
            <w:tcMar>
              <w:top w:w="80" w:type="dxa"/>
              <w:bottom w:w="80" w:type="dxa"/>
              <w:left w:w="120" w:type="dxa"/>
              <w:right w:w="120" w:type="dxa"/>
            </w:tcMar>
          </w:tcPr>
          <w:p>
            <w:pPr>
              <w:spacing w:after="0"/>
            </w:pPr>
            <w:r>
              <w:rPr>
                <w:sz w:val="18"/>
              </w:rPr>
              <w:t>NEQ v2</w:t>
            </w:r>
          </w:p>
        </w:tc>
        <w:tc>
          <w:tcPr>
            <w:tcW w:w="3560" w:type="dxa"/>
            <w:tcMar>
              <w:top w:w="80" w:type="dxa"/>
              <w:bottom w:w="80" w:type="dxa"/>
              <w:left w:w="120" w:type="dxa"/>
              <w:right w:w="120" w:type="dxa"/>
            </w:tcMar>
          </w:tcPr>
          <w:p>
            <w:pPr>
              <w:spacing w:after="0"/>
            </w:pPr>
            <w:r>
              <w:rPr>
                <w:sz w:val="18"/>
              </w:rPr>
              <w:t>CommFAR + ResZone% + log(DOB permit count)</w:t>
            </w:r>
          </w:p>
        </w:tc>
        <w:tc>
          <w:tcPr>
            <w:tcW w:w="1200" w:type="dxa"/>
            <w:tcMar>
              <w:top w:w="80" w:type="dxa"/>
              <w:bottom w:w="80" w:type="dxa"/>
              <w:left w:w="120" w:type="dxa"/>
              <w:right w:w="120" w:type="dxa"/>
            </w:tcMar>
          </w:tcPr>
          <w:p>
            <w:pPr>
              <w:spacing w:after="0"/>
              <w:jc w:val="center"/>
            </w:pPr>
            <w:r>
              <w:rPr>
                <w:sz w:val="18"/>
              </w:rPr>
              <w:t>+1.222 ★ (p=.018)</w:t>
            </w:r>
          </w:p>
        </w:tc>
        <w:tc>
          <w:tcPr>
            <w:tcW w:w="1200" w:type="dxa"/>
            <w:tcMar>
              <w:top w:w="80" w:type="dxa"/>
              <w:bottom w:w="80" w:type="dxa"/>
              <w:left w:w="120" w:type="dxa"/>
              <w:right w:w="120" w:type="dxa"/>
            </w:tcMar>
          </w:tcPr>
          <w:p>
            <w:pPr>
              <w:spacing w:after="0"/>
              <w:jc w:val="center"/>
            </w:pPr>
            <w:r>
              <w:rPr>
                <w:sz w:val="18"/>
              </w:rPr>
              <w:t>+1.002 ★ (p=.022)</w:t>
            </w:r>
          </w:p>
        </w:tc>
        <w:tc>
          <w:tcPr>
            <w:tcW w:w="2000" w:type="dxa"/>
            <w:tcMar>
              <w:top w:w="80" w:type="dxa"/>
              <w:bottom w:w="80" w:type="dxa"/>
              <w:left w:w="120" w:type="dxa"/>
              <w:right w:w="120" w:type="dxa"/>
            </w:tcMar>
          </w:tcPr>
          <w:p>
            <w:pPr>
              <w:spacing w:after="0"/>
            </w:pPr>
            <w:r>
              <w:rPr>
                <w:sz w:val="18"/>
              </w:rPr>
              <w:t>Replicates. Permit activity collinear with CommFAR; weakens precision without improving signal.</w:t>
            </w:r>
          </w:p>
        </w:tc>
      </w:tr>
      <w:tr>
        <w:tc>
          <w:tcPr>
            <w:tcW w:w="1400" w:type="dxa"/>
            <w:shd w:val="clear" w:color="auto" w:fill="F4F8FF"/>
            <w:tcMar>
              <w:top w:w="80" w:type="dxa"/>
              <w:bottom w:w="80" w:type="dxa"/>
              <w:left w:w="120" w:type="dxa"/>
              <w:right w:w="120" w:type="dxa"/>
            </w:tcMar>
          </w:tcPr>
          <w:p>
            <w:pPr>
              <w:spacing w:after="0"/>
            </w:pPr>
            <w:r>
              <w:rPr>
                <w:sz w:val="18"/>
              </w:rPr>
              <w:t>NEQ v4</w:t>
            </w:r>
          </w:p>
        </w:tc>
        <w:tc>
          <w:tcPr>
            <w:tcW w:w="3560" w:type="dxa"/>
            <w:shd w:val="clear" w:color="auto" w:fill="F4F8FF"/>
            <w:tcMar>
              <w:top w:w="80" w:type="dxa"/>
              <w:bottom w:w="80" w:type="dxa"/>
              <w:left w:w="120" w:type="dxa"/>
              <w:right w:w="120" w:type="dxa"/>
            </w:tcMar>
          </w:tcPr>
          <w:p>
            <w:pPr>
              <w:spacing w:after="0"/>
            </w:pPr>
            <w:r>
              <w:rPr>
                <w:sz w:val="18"/>
              </w:rPr>
              <w:t>CommFAR + ResZone% + highway proximity (flipped) + PM2.5 (flipped) + NO2 (flipped)</w:t>
            </w:r>
          </w:p>
        </w:tc>
        <w:tc>
          <w:tcPr>
            <w:tcW w:w="1200" w:type="dxa"/>
            <w:shd w:val="clear" w:color="auto" w:fill="F4F8FF"/>
            <w:tcMar>
              <w:top w:w="80" w:type="dxa"/>
              <w:bottom w:w="80" w:type="dxa"/>
              <w:left w:w="120" w:type="dxa"/>
              <w:right w:w="120" w:type="dxa"/>
            </w:tcMar>
          </w:tcPr>
          <w:p>
            <w:pPr>
              <w:spacing w:after="0"/>
              <w:jc w:val="center"/>
            </w:pPr>
            <w:r>
              <w:rPr>
                <w:sz w:val="18"/>
              </w:rPr>
              <w:t>+0.015 (p=.976) ns</w:t>
            </w:r>
          </w:p>
        </w:tc>
        <w:tc>
          <w:tcPr>
            <w:tcW w:w="1200" w:type="dxa"/>
            <w:shd w:val="clear" w:color="auto" w:fill="F4F8FF"/>
            <w:tcMar>
              <w:top w:w="80" w:type="dxa"/>
              <w:bottom w:w="80" w:type="dxa"/>
              <w:left w:w="120" w:type="dxa"/>
              <w:right w:w="120" w:type="dxa"/>
            </w:tcMar>
          </w:tcPr>
          <w:p>
            <w:pPr>
              <w:spacing w:after="0"/>
              <w:jc w:val="center"/>
            </w:pPr>
            <w:r>
              <w:rPr>
                <w:sz w:val="18"/>
              </w:rPr>
              <w:t>+0.092 (p=.816) ns</w:t>
            </w:r>
          </w:p>
        </w:tc>
        <w:tc>
          <w:tcPr>
            <w:tcW w:w="2000" w:type="dxa"/>
            <w:shd w:val="clear" w:color="auto" w:fill="F4F8FF"/>
            <w:tcMar>
              <w:top w:w="80" w:type="dxa"/>
              <w:bottom w:w="80" w:type="dxa"/>
              <w:left w:w="120" w:type="dxa"/>
              <w:right w:w="120" w:type="dxa"/>
            </w:tcMar>
          </w:tcPr>
          <w:p>
            <w:pPr>
              <w:spacing w:after="0"/>
            </w:pPr>
            <w:r>
              <w:rPr>
                <w:sz w:val="18"/>
              </w:rPr>
              <w:t>Signal disappears. Air quality and highway proximity are collinear with commercial zoning — they fight the zoning signal in the composite.</w:t>
            </w:r>
          </w:p>
        </w:tc>
      </w:tr>
    </w:tbl>
    <w:p w14:paraId="74D376E0" w14:textId="77777777" w:rsidR="003151A7" w:rsidRDefault="00000000">
      <w:pPr>
        <w:spacing w:after="80"/>
      </w:pPr>
    </w:p>
    <w:p w14:paraId="2B1E4D2C" w14:textId="77777777" w:rsidR="003151A7" w:rsidRDefault="00000000">
      <w:pPr>
        <w:pStyle w:val="Heading2"/>
        <w:spacing w:before="300" w:after="100"/>
      </w:pPr>
      <w:r>
        <w:t>9.3  Multi-predictor Level 2 model: separating zoning from environmental burden</w:t>
      </w:r>
    </w:p>
    <w:p w14:paraId="6F2560F2" w14:textId="77777777" w:rsidR="003151A7" w:rsidRDefault="00000000">
      <w:pPr>
        <w:spacing w:after="180" w:line="400" w:lineRule="auto"/>
      </w:pPr>
      <w:r>
        <w:t xml:space="preserve">The collapse of the NEQ signal in composite specifications incorporating air quality and highway proximity does not mean those variables are irrelevant — it means they are correlated with the zoning signal in a composite index. High-commercial-zoning districts (Lower Manhattan, Chelsea) also tend to have higher traffic and worse air quality, so when both positive (zoning opportunity) and negative (air pollution burden) indicators enter the same composite, they partially cancel. The correct analytical response is to enter them as separate Level 2 predictors in the HLM, where their independent contributions can be estimated simultaneously.</w:t>
      </w:r>
    </w:p>
    <w:p w14:paraId="6BACC3E7" w14:textId="77777777" w:rsidR="003151A7" w:rsidRDefault="00000000">
      <w:pPr>
        <w:spacing w:after="180" w:line="400" w:lineRule="auto"/>
      </w:pPr>
      <w:r>
        <w:t xml:space="preserve">Four models were estimated for each exam, entering the NEQ zoning index (z-scored), highway distance (z-scored; positive = farther from highway = less exposed), and PM2.5 (z-scored; positive = higher pollution = worse) as separate Level 2 predictors. Highway distance was calculated as the mean Euclidean distance (miles) from each school in the district to the nearest major highway segment, using the NYC Street Centerline (LION) shapefile projected to EPSG:2263.</w:t>
      </w:r>
    </w:p>
    <w:p w14:paraId="299A4844" w14:textId="77777777" w:rsidR="003151A7" w:rsidRDefault="00000000">
      <w:pPr>
        <w:spacing w:after="100" w:line="400" w:lineRule="auto"/>
      </w:pPr>
      <w:r>
        <w:rPr>
          <w:b/>
        </w:rPr>
        <w:t xml:space="preserve">Table 7.  </w:t>
      </w:r>
      <w:r>
        <w:rPr>
          <w:i/>
        </w:rPr>
        <w:t>Multi-predictor Level 2 model results — NEQ, highway proximity, and PM2.5 as separate predictors</w:t>
      </w:r>
    </w:p>
    <w:tbl>
      <w:tblPr>
        <w:tblStyle w:val="TableGrid"/>
        <w:tblW w:w="9360" w:type="dxa"/>
        <w:tblBorders>
          <w:top w:val="single" w:sz="4" w:space="0" w:color="D1D9E8"/>
          <w:left w:val="single" w:sz="4" w:space="0" w:color="D1D9E8"/>
          <w:bottom w:val="single" w:sz="4" w:space="0" w:color="D1D9E8"/>
          <w:right w:val="single" w:sz="4" w:space="0" w:color="D1D9E8"/>
          <w:insideH w:val="single" w:sz="4" w:space="0" w:color="D1D9E8"/>
          <w:insideV w:val="single" w:sz="4" w:space="0" w:color="D1D9E8"/>
        </w:tblBorders>
      </w:tblPr>
      <w:tblGrid>
        <w:gridCol w:w="780"/>
        <w:gridCol w:w="1300"/>
        <w:gridCol w:w="720"/>
        <w:gridCol w:w="720"/>
        <w:gridCol w:w="720"/>
        <w:gridCol w:w="720"/>
        <w:gridCol w:w="720"/>
        <w:gridCol w:w="720"/>
        <w:gridCol w:w="720"/>
        <w:gridCol w:w="720"/>
        <w:gridCol w:w="720"/>
      </w:tblGrid>
      <w:tr>
        <w:trPr>
          <w:tblHeader/>
        </w:trPr>
        <w:tc>
          <w:tcPr>
            <w:tcW w:w="780" w:type="dxa"/>
            <w:shd w:val="clear" w:color="auto" w:fill="0D2B5E"/>
            <w:tcMar>
              <w:top w:w="60" w:type="dxa"/>
              <w:bottom w:w="60" w:type="dxa"/>
              <w:left w:w="80" w:type="dxa"/>
              <w:right w:w="80" w:type="dxa"/>
            </w:tcMar>
          </w:tcPr>
          <w:p>
            <w:pPr>
              <w:spacing w:after="0"/>
            </w:pPr>
            <w:r>
              <w:rPr>
                <w:b/>
                <w:color w:val="FFFFFF"/>
                <w:sz w:val="16"/>
              </w:rPr>
              <w:t>Model</w:t>
            </w:r>
          </w:p>
        </w:tc>
        <w:tc>
          <w:tcPr>
            <w:tcW w:w="1300" w:type="dxa"/>
            <w:shd w:val="clear" w:color="auto" w:fill="0D2B5E"/>
            <w:tcMar>
              <w:top w:w="60" w:type="dxa"/>
              <w:bottom w:w="60" w:type="dxa"/>
              <w:left w:w="80" w:type="dxa"/>
              <w:right w:w="80" w:type="dxa"/>
            </w:tcMar>
          </w:tcPr>
          <w:p>
            <w:pPr>
              <w:spacing w:after="0"/>
            </w:pPr>
            <w:r>
              <w:rPr>
                <w:b/>
                <w:color w:val="FFFFFF"/>
                <w:sz w:val="16"/>
              </w:rPr>
              <w:t>Predictors at Level 2</w:t>
            </w:r>
          </w:p>
        </w:tc>
        <w:tc>
          <w:tcPr>
            <w:tcW w:w="720" w:type="dxa"/>
            <w:shd w:val="clear" w:color="auto" w:fill="1D4E89"/>
            <w:tcMar>
              <w:top w:w="60" w:type="dxa"/>
              <w:bottom w:w="60" w:type="dxa"/>
              <w:left w:w="80" w:type="dxa"/>
              <w:right w:w="80" w:type="dxa"/>
            </w:tcMar>
          </w:tcPr>
          <w:p>
            <w:pPr>
              <w:spacing w:after="0"/>
              <w:jc w:val="center"/>
            </w:pPr>
            <w:r>
              <w:rPr>
                <w:b/>
                <w:color w:val="FFFFFF"/>
                <w:sz w:val="16"/>
              </w:rPr>
              <w:t>ELA NEQ γ</w:t>
            </w:r>
          </w:p>
        </w:tc>
        <w:tc>
          <w:tcPr>
            <w:tcW w:w="720" w:type="dxa"/>
            <w:shd w:val="clear" w:color="auto" w:fill="1D4E89"/>
            <w:tcMar>
              <w:top w:w="60" w:type="dxa"/>
              <w:bottom w:w="60" w:type="dxa"/>
              <w:left w:w="80" w:type="dxa"/>
              <w:right w:w="80" w:type="dxa"/>
            </w:tcMar>
          </w:tcPr>
          <w:p>
            <w:pPr>
              <w:spacing w:after="0"/>
              <w:jc w:val="center"/>
            </w:pPr>
            <w:r>
              <w:rPr>
                <w:b/>
                <w:color w:val="FFFFFF"/>
                <w:sz w:val="16"/>
              </w:rPr>
              <w:t>p</w:t>
            </w:r>
          </w:p>
        </w:tc>
        <w:tc>
          <w:tcPr>
            <w:tcW w:w="720" w:type="dxa"/>
            <w:shd w:val="clear" w:color="auto" w:fill="1D4E89"/>
            <w:tcMar>
              <w:top w:w="60" w:type="dxa"/>
              <w:bottom w:w="60" w:type="dxa"/>
              <w:left w:w="80" w:type="dxa"/>
              <w:right w:w="80" w:type="dxa"/>
            </w:tcMar>
          </w:tcPr>
          <w:p>
            <w:pPr>
              <w:spacing w:after="0"/>
              <w:jc w:val="center"/>
            </w:pPr>
            <w:r>
              <w:rPr>
                <w:b/>
                <w:color w:val="FFFFFF"/>
                <w:sz w:val="16"/>
              </w:rPr>
              <w:t>ELA hw γ</w:t>
            </w:r>
          </w:p>
        </w:tc>
        <w:tc>
          <w:tcPr>
            <w:tcW w:w="720" w:type="dxa"/>
            <w:shd w:val="clear" w:color="auto" w:fill="1D4E89"/>
            <w:tcMar>
              <w:top w:w="60" w:type="dxa"/>
              <w:bottom w:w="60" w:type="dxa"/>
              <w:left w:w="80" w:type="dxa"/>
              <w:right w:w="80" w:type="dxa"/>
            </w:tcMar>
          </w:tcPr>
          <w:p>
            <w:pPr>
              <w:spacing w:after="0"/>
              <w:jc w:val="center"/>
            </w:pPr>
            <w:r>
              <w:rPr>
                <w:b/>
                <w:color w:val="FFFFFF"/>
                <w:sz w:val="16"/>
              </w:rPr>
              <w:t>p</w:t>
            </w:r>
          </w:p>
        </w:tc>
        <w:tc>
          <w:tcPr>
            <w:tcW w:w="720" w:type="dxa"/>
            <w:shd w:val="clear" w:color="auto" w:fill="1D4E89"/>
            <w:tcMar>
              <w:top w:w="60" w:type="dxa"/>
              <w:bottom w:w="60" w:type="dxa"/>
              <w:left w:w="80" w:type="dxa"/>
              <w:right w:w="80" w:type="dxa"/>
            </w:tcMar>
          </w:tcPr>
          <w:p>
            <w:pPr>
              <w:spacing w:after="0"/>
              <w:jc w:val="center"/>
            </w:pPr>
            <w:r>
              <w:rPr>
                <w:b/>
                <w:color w:val="FFFFFF"/>
                <w:sz w:val="16"/>
              </w:rPr>
              <w:t>ELA PM γ</w:t>
            </w:r>
          </w:p>
        </w:tc>
        <w:tc>
          <w:tcPr>
            <w:tcW w:w="720" w:type="dxa"/>
            <w:shd w:val="clear" w:color="auto" w:fill="1D4E89"/>
            <w:tcMar>
              <w:top w:w="60" w:type="dxa"/>
              <w:bottom w:w="60" w:type="dxa"/>
              <w:left w:w="80" w:type="dxa"/>
              <w:right w:w="80" w:type="dxa"/>
            </w:tcMar>
          </w:tcPr>
          <w:p>
            <w:pPr>
              <w:spacing w:after="0"/>
              <w:jc w:val="center"/>
            </w:pPr>
            <w:r>
              <w:rPr>
                <w:b/>
                <w:color w:val="FFFFFF"/>
                <w:sz w:val="16"/>
              </w:rPr>
              <w:t>p</w:t>
            </w:r>
          </w:p>
        </w:tc>
        <w:tc>
          <w:tcPr>
            <w:tcW w:w="720" w:type="dxa"/>
            <w:shd w:val="clear" w:color="auto" w:fill="2D6A4F"/>
            <w:tcMar>
              <w:top w:w="60" w:type="dxa"/>
              <w:bottom w:w="60" w:type="dxa"/>
              <w:left w:w="80" w:type="dxa"/>
              <w:right w:w="80" w:type="dxa"/>
            </w:tcMar>
          </w:tcPr>
          <w:p>
            <w:pPr>
              <w:spacing w:after="0"/>
              <w:jc w:val="center"/>
            </w:pPr>
            <w:r>
              <w:rPr>
                <w:b/>
                <w:color w:val="FFFFFF"/>
                <w:sz w:val="16"/>
              </w:rPr>
              <w:t>Sci NEQ γ</w:t>
            </w:r>
          </w:p>
        </w:tc>
        <w:tc>
          <w:tcPr>
            <w:tcW w:w="720" w:type="dxa"/>
            <w:shd w:val="clear" w:color="auto" w:fill="2D6A4F"/>
            <w:tcMar>
              <w:top w:w="60" w:type="dxa"/>
              <w:bottom w:w="60" w:type="dxa"/>
              <w:left w:w="80" w:type="dxa"/>
              <w:right w:w="80" w:type="dxa"/>
            </w:tcMar>
          </w:tcPr>
          <w:p>
            <w:pPr>
              <w:spacing w:after="0"/>
              <w:jc w:val="center"/>
            </w:pPr>
            <w:r>
              <w:rPr>
                <w:b/>
                <w:color w:val="FFFFFF"/>
                <w:sz w:val="16"/>
              </w:rPr>
              <w:t>p</w:t>
            </w:r>
          </w:p>
        </w:tc>
        <w:tc>
          <w:tcPr>
            <w:tcW w:w="720" w:type="dxa"/>
            <w:shd w:val="clear" w:color="auto" w:fill="2D6A4F"/>
            <w:tcMar>
              <w:top w:w="60" w:type="dxa"/>
              <w:bottom w:w="60" w:type="dxa"/>
              <w:left w:w="80" w:type="dxa"/>
              <w:right w:w="80" w:type="dxa"/>
            </w:tcMar>
          </w:tcPr>
          <w:p>
            <w:pPr>
              <w:spacing w:after="0"/>
              <w:jc w:val="center"/>
            </w:pPr>
            <w:r>
              <w:rPr>
                <w:b/>
                <w:color w:val="FFFFFF"/>
                <w:sz w:val="16"/>
              </w:rPr>
              <w:t>Sci PM γ</w:t>
            </w:r>
          </w:p>
        </w:tc>
      </w:tr>
      <w:tr>
        <w:tc>
          <w:tcPr>
            <w:tcW w:w="780" w:type="dxa"/>
            <w:shd w:val="clear" w:color="auto" w:fill="E6F4EA"/>
            <w:tcMar>
              <w:top w:w="60" w:type="dxa"/>
              <w:bottom w:w="60" w:type="dxa"/>
              <w:left w:w="80" w:type="dxa"/>
              <w:right w:w="80" w:type="dxa"/>
            </w:tcMar>
          </w:tcPr>
          <w:p>
            <w:pPr>
              <w:spacing w:after="0"/>
            </w:pPr>
            <w:r>
              <w:rPr>
                <w:b/>
                <w:color w:val="1E6B3C"/>
                <w:sz w:val="17"/>
              </w:rPr>
              <w:t>A</w:t>
            </w:r>
          </w:p>
        </w:tc>
        <w:tc>
          <w:tcPr>
            <w:tcW w:w="1300" w:type="dxa"/>
            <w:shd w:val="clear" w:color="auto" w:fill="E6F4EA"/>
            <w:tcMar>
              <w:top w:w="60" w:type="dxa"/>
              <w:bottom w:w="60" w:type="dxa"/>
              <w:left w:w="80" w:type="dxa"/>
              <w:right w:w="80" w:type="dxa"/>
            </w:tcMar>
          </w:tcPr>
          <w:p>
            <w:pPr>
              <w:spacing w:after="0"/>
            </w:pPr>
            <w:r>
              <w:rPr>
                <w:color w:val="1E6B3C"/>
                <w:sz w:val="17"/>
              </w:rPr>
              <w:t>NEQ only (primary)</w:t>
            </w:r>
          </w:p>
        </w:tc>
        <w:tc>
          <w:tcPr>
            <w:tcW w:w="720" w:type="dxa"/>
            <w:shd w:val="clear" w:color="auto" w:fill="E6F4EA"/>
            <w:tcMar>
              <w:top w:w="60" w:type="dxa"/>
              <w:bottom w:w="60" w:type="dxa"/>
              <w:left w:w="80" w:type="dxa"/>
              <w:right w:w="80" w:type="dxa"/>
            </w:tcMar>
          </w:tcPr>
          <w:p>
            <w:pPr>
              <w:spacing w:after="0"/>
              <w:jc w:val="center"/>
            </w:pPr>
            <w:r>
              <w:rPr>
                <w:b/>
                <w:color w:val="1E6B3C"/>
                <w:sz w:val="17"/>
              </w:rPr>
              <w:t>+1.180</w:t>
            </w:r>
          </w:p>
        </w:tc>
        <w:tc>
          <w:tcPr>
            <w:tcW w:w="720" w:type="dxa"/>
            <w:shd w:val="clear" w:color="auto" w:fill="E6F4EA"/>
            <w:tcMar>
              <w:top w:w="60" w:type="dxa"/>
              <w:bottom w:w="60" w:type="dxa"/>
              <w:left w:w="80" w:type="dxa"/>
              <w:right w:w="80" w:type="dxa"/>
            </w:tcMar>
          </w:tcPr>
          <w:p>
            <w:pPr>
              <w:spacing w:after="0"/>
              <w:jc w:val="center"/>
            </w:pPr>
            <w:r>
              <w:rPr>
                <w:b/>
                <w:color w:val="1E6B3C"/>
                <w:sz w:val="17"/>
              </w:rPr>
              <w:t>.003 ★★</w:t>
            </w:r>
          </w:p>
        </w:tc>
        <w:tc>
          <w:tcPr>
            <w:tcW w:w="720" w:type="dxa"/>
            <w:shd w:val="clear" w:color="auto" w:fill="E6F4EA"/>
            <w:tcMar>
              <w:top w:w="60" w:type="dxa"/>
              <w:bottom w:w="60" w:type="dxa"/>
              <w:left w:w="80" w:type="dxa"/>
              <w:right w:w="80" w:type="dxa"/>
            </w:tcMar>
          </w:tcPr>
          <w:p>
            <w:pPr>
              <w:spacing w:after="0"/>
              <w:jc w:val="center"/>
            </w:pPr>
            <w:r>
              <w:rPr>
                <w:color w:val="767672"/>
                <w:sz w:val="17"/>
              </w:rPr>
              <w:t>—</w:t>
            </w:r>
          </w:p>
        </w:tc>
        <w:tc>
          <w:tcPr>
            <w:tcW w:w="720" w:type="dxa"/>
            <w:shd w:val="clear" w:color="auto" w:fill="E6F4EA"/>
            <w:tcMar>
              <w:top w:w="60" w:type="dxa"/>
              <w:bottom w:w="60" w:type="dxa"/>
              <w:left w:w="80" w:type="dxa"/>
              <w:right w:w="80" w:type="dxa"/>
            </w:tcMar>
          </w:tcPr>
          <w:p>
            <w:pPr>
              <w:spacing w:after="0"/>
              <w:jc w:val="center"/>
            </w:pPr>
            <w:r>
              <w:rPr>
                <w:color w:val="767672"/>
                <w:sz w:val="17"/>
              </w:rPr>
              <w:t>—</w:t>
            </w:r>
          </w:p>
        </w:tc>
        <w:tc>
          <w:tcPr>
            <w:tcW w:w="720" w:type="dxa"/>
            <w:shd w:val="clear" w:color="auto" w:fill="E6F4EA"/>
            <w:tcMar>
              <w:top w:w="60" w:type="dxa"/>
              <w:bottom w:w="60" w:type="dxa"/>
              <w:left w:w="80" w:type="dxa"/>
              <w:right w:w="80" w:type="dxa"/>
            </w:tcMar>
          </w:tcPr>
          <w:p>
            <w:pPr>
              <w:spacing w:after="0"/>
              <w:jc w:val="center"/>
            </w:pPr>
            <w:r>
              <w:rPr>
                <w:color w:val="767672"/>
                <w:sz w:val="17"/>
              </w:rPr>
              <w:t>—</w:t>
            </w:r>
          </w:p>
        </w:tc>
        <w:tc>
          <w:tcPr>
            <w:tcW w:w="720" w:type="dxa"/>
            <w:shd w:val="clear" w:color="auto" w:fill="E6F4EA"/>
            <w:tcMar>
              <w:top w:w="60" w:type="dxa"/>
              <w:bottom w:w="60" w:type="dxa"/>
              <w:left w:w="80" w:type="dxa"/>
              <w:right w:w="80" w:type="dxa"/>
            </w:tcMar>
          </w:tcPr>
          <w:p>
            <w:pPr>
              <w:spacing w:after="0"/>
              <w:jc w:val="center"/>
            </w:pPr>
            <w:r>
              <w:rPr>
                <w:color w:val="767672"/>
                <w:sz w:val="17"/>
              </w:rPr>
              <w:t>—</w:t>
            </w:r>
          </w:p>
        </w:tc>
        <w:tc>
          <w:tcPr>
            <w:tcW w:w="720" w:type="dxa"/>
            <w:shd w:val="clear" w:color="auto" w:fill="E6F4EA"/>
            <w:tcMar>
              <w:top w:w="60" w:type="dxa"/>
              <w:bottom w:w="60" w:type="dxa"/>
              <w:left w:w="80" w:type="dxa"/>
              <w:right w:w="80" w:type="dxa"/>
            </w:tcMar>
          </w:tcPr>
          <w:p>
            <w:pPr>
              <w:spacing w:after="0"/>
              <w:jc w:val="center"/>
            </w:pPr>
            <w:r>
              <w:rPr>
                <w:b/>
                <w:color w:val="2D6A4F"/>
                <w:sz w:val="17"/>
              </w:rPr>
              <w:t>+0.931</w:t>
            </w:r>
          </w:p>
        </w:tc>
        <w:tc>
          <w:tcPr>
            <w:tcW w:w="720" w:type="dxa"/>
            <w:shd w:val="clear" w:color="auto" w:fill="E6F4EA"/>
            <w:tcMar>
              <w:top w:w="60" w:type="dxa"/>
              <w:bottom w:w="60" w:type="dxa"/>
              <w:left w:w="80" w:type="dxa"/>
              <w:right w:w="80" w:type="dxa"/>
            </w:tcMar>
          </w:tcPr>
          <w:p>
            <w:pPr>
              <w:spacing w:after="0"/>
              <w:jc w:val="center"/>
            </w:pPr>
            <w:r>
              <w:rPr>
                <w:b/>
                <w:color w:val="2D6A4F"/>
                <w:sz w:val="17"/>
              </w:rPr>
              <w:t>.004 ★★</w:t>
            </w:r>
          </w:p>
        </w:tc>
        <w:tc>
          <w:tcPr>
            <w:tcW w:w="720" w:type="dxa"/>
            <w:shd w:val="clear" w:color="auto" w:fill="E6F4EA"/>
            <w:tcMar>
              <w:top w:w="60" w:type="dxa"/>
              <w:bottom w:w="60" w:type="dxa"/>
              <w:left w:w="80" w:type="dxa"/>
              <w:right w:w="80" w:type="dxa"/>
            </w:tcMar>
          </w:tcPr>
          <w:p>
            <w:pPr>
              <w:spacing w:after="0"/>
              <w:jc w:val="center"/>
            </w:pPr>
            <w:r>
              <w:rPr>
                <w:color w:val="767672"/>
                <w:sz w:val="17"/>
              </w:rPr>
              <w:t>—</w:t>
            </w:r>
          </w:p>
        </w:tc>
      </w:tr>
      <w:tr>
        <w:tc>
          <w:tcPr>
            <w:tcW w:w="780" w:type="dxa"/>
            <w:tcMar>
              <w:top w:w="60" w:type="dxa"/>
              <w:bottom w:w="60" w:type="dxa"/>
              <w:left w:w="80" w:type="dxa"/>
              <w:right w:w="80" w:type="dxa"/>
            </w:tcMar>
          </w:tcPr>
          <w:p>
            <w:pPr>
              <w:spacing w:after="0"/>
            </w:pPr>
            <w:r>
              <w:rPr>
                <w:sz w:val="17"/>
              </w:rPr>
              <w:t>B</w:t>
            </w:r>
          </w:p>
        </w:tc>
        <w:tc>
          <w:tcPr>
            <w:tcW w:w="1300" w:type="dxa"/>
            <w:tcMar>
              <w:top w:w="60" w:type="dxa"/>
              <w:bottom w:w="60" w:type="dxa"/>
              <w:left w:w="80" w:type="dxa"/>
              <w:right w:w="80" w:type="dxa"/>
            </w:tcMar>
          </w:tcPr>
          <w:p>
            <w:pPr>
              <w:spacing w:after="0"/>
            </w:pPr>
            <w:r>
              <w:rPr>
                <w:sz w:val="17"/>
              </w:rPr>
              <w:t>NEQ + highway dist.</w:t>
            </w:r>
          </w:p>
        </w:tc>
        <w:tc>
          <w:tcPr>
            <w:tcW w:w="720" w:type="dxa"/>
            <w:tcMar>
              <w:top w:w="60" w:type="dxa"/>
              <w:bottom w:w="60" w:type="dxa"/>
              <w:left w:w="80" w:type="dxa"/>
              <w:right w:w="80" w:type="dxa"/>
            </w:tcMar>
          </w:tcPr>
          <w:p>
            <w:pPr>
              <w:spacing w:after="0"/>
              <w:jc w:val="center"/>
            </w:pPr>
            <w:r>
              <w:rPr>
                <w:sz w:val="17"/>
              </w:rPr>
              <w:t>+1.190</w:t>
            </w:r>
          </w:p>
        </w:tc>
        <w:tc>
          <w:tcPr>
            <w:tcW w:w="720" w:type="dxa"/>
            <w:tcMar>
              <w:top w:w="60" w:type="dxa"/>
              <w:bottom w:w="60" w:type="dxa"/>
              <w:left w:w="80" w:type="dxa"/>
              <w:right w:w="80" w:type="dxa"/>
            </w:tcMar>
          </w:tcPr>
          <w:p>
            <w:pPr>
              <w:spacing w:after="0"/>
              <w:jc w:val="center"/>
            </w:pPr>
            <w:r>
              <w:rPr>
                <w:sz w:val="17"/>
              </w:rPr>
              <w:t>.003 ★★</w:t>
            </w:r>
          </w:p>
        </w:tc>
        <w:tc>
          <w:tcPr>
            <w:tcW w:w="720" w:type="dxa"/>
            <w:tcMar>
              <w:top w:w="60" w:type="dxa"/>
              <w:bottom w:w="60" w:type="dxa"/>
              <w:left w:w="80" w:type="dxa"/>
              <w:right w:w="80" w:type="dxa"/>
            </w:tcMar>
          </w:tcPr>
          <w:p>
            <w:pPr>
              <w:spacing w:after="0"/>
              <w:jc w:val="center"/>
            </w:pPr>
            <w:r>
              <w:rPr>
                <w:sz w:val="17"/>
              </w:rPr>
              <w:t>−0.056</w:t>
            </w:r>
          </w:p>
        </w:tc>
        <w:tc>
          <w:tcPr>
            <w:tcW w:w="720" w:type="dxa"/>
            <w:tcMar>
              <w:top w:w="60" w:type="dxa"/>
              <w:bottom w:w="60" w:type="dxa"/>
              <w:left w:w="80" w:type="dxa"/>
              <w:right w:w="80" w:type="dxa"/>
            </w:tcMar>
          </w:tcPr>
          <w:p>
            <w:pPr>
              <w:spacing w:after="0"/>
              <w:jc w:val="center"/>
            </w:pPr>
            <w:r>
              <w:rPr>
                <w:sz w:val="17"/>
              </w:rPr>
              <w:t>.900 ns</w:t>
            </w:r>
          </w:p>
        </w:tc>
        <w:tc>
          <w:tcPr>
            <w:tcW w:w="720" w:type="dxa"/>
            <w:tcMar>
              <w:top w:w="60" w:type="dxa"/>
              <w:bottom w:w="60" w:type="dxa"/>
              <w:left w:w="80" w:type="dxa"/>
              <w:right w:w="80" w:type="dxa"/>
            </w:tcMar>
          </w:tcPr>
          <w:p>
            <w:pPr>
              <w:spacing w:after="0"/>
              <w:jc w:val="center"/>
            </w:pPr>
            <w:r>
              <w:rPr>
                <w:color w:val="767672"/>
                <w:sz w:val="17"/>
              </w:rPr>
              <w:t>—</w:t>
            </w:r>
          </w:p>
        </w:tc>
        <w:tc>
          <w:tcPr>
            <w:tcW w:w="720" w:type="dxa"/>
            <w:tcMar>
              <w:top w:w="60" w:type="dxa"/>
              <w:bottom w:w="60" w:type="dxa"/>
              <w:left w:w="80" w:type="dxa"/>
              <w:right w:w="80" w:type="dxa"/>
            </w:tcMar>
          </w:tcPr>
          <w:p>
            <w:pPr>
              <w:spacing w:after="0"/>
              <w:jc w:val="center"/>
            </w:pPr>
            <w:r>
              <w:rPr>
                <w:color w:val="767672"/>
                <w:sz w:val="17"/>
              </w:rPr>
              <w:t>—</w:t>
            </w:r>
          </w:p>
        </w:tc>
        <w:tc>
          <w:tcPr>
            <w:tcW w:w="720" w:type="dxa"/>
            <w:tcMar>
              <w:top w:w="60" w:type="dxa"/>
              <w:bottom w:w="60" w:type="dxa"/>
              <w:left w:w="80" w:type="dxa"/>
              <w:right w:w="80" w:type="dxa"/>
            </w:tcMar>
          </w:tcPr>
          <w:p>
            <w:pPr>
              <w:spacing w:after="0"/>
              <w:jc w:val="center"/>
            </w:pPr>
            <w:r>
              <w:rPr>
                <w:sz w:val="17"/>
              </w:rPr>
              <w:t>+0.995</w:t>
            </w:r>
          </w:p>
        </w:tc>
        <w:tc>
          <w:tcPr>
            <w:tcW w:w="720" w:type="dxa"/>
            <w:tcMar>
              <w:top w:w="60" w:type="dxa"/>
              <w:bottom w:w="60" w:type="dxa"/>
              <w:left w:w="80" w:type="dxa"/>
              <w:right w:w="80" w:type="dxa"/>
            </w:tcMar>
          </w:tcPr>
          <w:p>
            <w:pPr>
              <w:spacing w:after="0"/>
              <w:jc w:val="center"/>
            </w:pPr>
            <w:r>
              <w:rPr>
                <w:sz w:val="17"/>
              </w:rPr>
              <w:t>.003 ★★</w:t>
            </w:r>
          </w:p>
        </w:tc>
        <w:tc>
          <w:tcPr>
            <w:tcW w:w="720" w:type="dxa"/>
            <w:tcMar>
              <w:top w:w="60" w:type="dxa"/>
              <w:bottom w:w="60" w:type="dxa"/>
              <w:left w:w="80" w:type="dxa"/>
              <w:right w:w="80" w:type="dxa"/>
            </w:tcMar>
          </w:tcPr>
          <w:p>
            <w:pPr>
              <w:spacing w:after="0"/>
              <w:jc w:val="center"/>
            </w:pPr>
            <w:r>
              <w:rPr>
                <w:color w:val="767672"/>
                <w:sz w:val="17"/>
              </w:rPr>
              <w:t>—</w:t>
            </w:r>
          </w:p>
        </w:tc>
      </w:tr>
      <w:tr>
        <w:tc>
          <w:tcPr>
            <w:tcW w:w="780" w:type="dxa"/>
            <w:shd w:val="clear" w:color="auto" w:fill="F4F8FF"/>
            <w:tcMar>
              <w:top w:w="60" w:type="dxa"/>
              <w:bottom w:w="60" w:type="dxa"/>
              <w:left w:w="80" w:type="dxa"/>
              <w:right w:w="80" w:type="dxa"/>
            </w:tcMar>
          </w:tcPr>
          <w:p>
            <w:pPr>
              <w:spacing w:after="0"/>
            </w:pPr>
            <w:r>
              <w:rPr>
                <w:sz w:val="17"/>
              </w:rPr>
              <w:t>C</w:t>
            </w:r>
          </w:p>
        </w:tc>
        <w:tc>
          <w:tcPr>
            <w:tcW w:w="1300" w:type="dxa"/>
            <w:shd w:val="clear" w:color="auto" w:fill="F4F8FF"/>
            <w:tcMar>
              <w:top w:w="60" w:type="dxa"/>
              <w:bottom w:w="60" w:type="dxa"/>
              <w:left w:w="80" w:type="dxa"/>
              <w:right w:w="80" w:type="dxa"/>
            </w:tcMar>
          </w:tcPr>
          <w:p>
            <w:pPr>
              <w:spacing w:after="0"/>
            </w:pPr>
            <w:r>
              <w:rPr>
                <w:sz w:val="17"/>
              </w:rPr>
              <w:t>NEQ + PM2.5</w:t>
            </w:r>
          </w:p>
        </w:tc>
        <w:tc>
          <w:tcPr>
            <w:tcW w:w="720" w:type="dxa"/>
            <w:shd w:val="clear" w:color="auto" w:fill="F4F8FF"/>
            <w:tcMar>
              <w:top w:w="60" w:type="dxa"/>
              <w:bottom w:w="60" w:type="dxa"/>
              <w:left w:w="80" w:type="dxa"/>
              <w:right w:w="80" w:type="dxa"/>
            </w:tcMar>
          </w:tcPr>
          <w:p>
            <w:pPr>
              <w:spacing w:after="0"/>
              <w:jc w:val="center"/>
            </w:pPr>
            <w:r>
              <w:rPr>
                <w:sz w:val="17"/>
              </w:rPr>
              <w:t>+0.903</w:t>
            </w:r>
          </w:p>
        </w:tc>
        <w:tc>
          <w:tcPr>
            <w:tcW w:w="720" w:type="dxa"/>
            <w:shd w:val="clear" w:color="auto" w:fill="F4F8FF"/>
            <w:tcMar>
              <w:top w:w="60" w:type="dxa"/>
              <w:bottom w:w="60" w:type="dxa"/>
              <w:left w:w="80" w:type="dxa"/>
              <w:right w:w="80" w:type="dxa"/>
            </w:tcMar>
          </w:tcPr>
          <w:p>
            <w:pPr>
              <w:spacing w:after="0"/>
              <w:jc w:val="center"/>
            </w:pPr>
            <w:r>
              <w:rPr>
                <w:sz w:val="17"/>
              </w:rPr>
              <w:t>.038 ★</w:t>
            </w:r>
          </w:p>
        </w:tc>
        <w:tc>
          <w:tcPr>
            <w:tcW w:w="720" w:type="dxa"/>
            <w:shd w:val="clear" w:color="auto" w:fill="F4F8FF"/>
            <w:tcMar>
              <w:top w:w="60" w:type="dxa"/>
              <w:bottom w:w="60" w:type="dxa"/>
              <w:left w:w="80" w:type="dxa"/>
              <w:right w:w="80" w:type="dxa"/>
            </w:tcMar>
          </w:tcPr>
          <w:p>
            <w:pPr>
              <w:spacing w:after="0"/>
              <w:jc w:val="center"/>
            </w:pPr>
            <w:r>
              <w:rPr>
                <w:color w:val="767672"/>
                <w:sz w:val="17"/>
              </w:rPr>
              <w:t>—</w:t>
            </w:r>
          </w:p>
        </w:tc>
        <w:tc>
          <w:tcPr>
            <w:tcW w:w="720" w:type="dxa"/>
            <w:shd w:val="clear" w:color="auto" w:fill="F4F8FF"/>
            <w:tcMar>
              <w:top w:w="60" w:type="dxa"/>
              <w:bottom w:w="60" w:type="dxa"/>
              <w:left w:w="80" w:type="dxa"/>
              <w:right w:w="80" w:type="dxa"/>
            </w:tcMar>
          </w:tcPr>
          <w:p>
            <w:pPr>
              <w:spacing w:after="0"/>
              <w:jc w:val="center"/>
            </w:pPr>
            <w:r>
              <w:rPr>
                <w:color w:val="767672"/>
                <w:sz w:val="17"/>
              </w:rPr>
              <w:t>—</w:t>
            </w:r>
          </w:p>
        </w:tc>
        <w:tc>
          <w:tcPr>
            <w:tcW w:w="720" w:type="dxa"/>
            <w:shd w:val="clear" w:color="auto" w:fill="F4F8FF"/>
            <w:tcMar>
              <w:top w:w="60" w:type="dxa"/>
              <w:bottom w:w="60" w:type="dxa"/>
              <w:left w:w="80" w:type="dxa"/>
              <w:right w:w="80" w:type="dxa"/>
            </w:tcMar>
          </w:tcPr>
          <w:p>
            <w:pPr>
              <w:spacing w:after="0"/>
              <w:jc w:val="center"/>
            </w:pPr>
            <w:r>
              <w:rPr>
                <w:sz w:val="17"/>
              </w:rPr>
              <w:t>+0.763</w:t>
            </w:r>
          </w:p>
        </w:tc>
        <w:tc>
          <w:tcPr>
            <w:tcW w:w="720" w:type="dxa"/>
            <w:shd w:val="clear" w:color="auto" w:fill="F4F8FF"/>
            <w:tcMar>
              <w:top w:w="60" w:type="dxa"/>
              <w:bottom w:w="60" w:type="dxa"/>
              <w:left w:w="80" w:type="dxa"/>
              <w:right w:w="80" w:type="dxa"/>
            </w:tcMar>
          </w:tcPr>
          <w:p>
            <w:pPr>
              <w:spacing w:after="0"/>
              <w:jc w:val="center"/>
            </w:pPr>
            <w:r>
              <w:rPr>
                <w:sz w:val="17"/>
              </w:rPr>
              <w:t>.131 ns</w:t>
            </w:r>
          </w:p>
        </w:tc>
        <w:tc>
          <w:tcPr>
            <w:tcW w:w="720" w:type="dxa"/>
            <w:shd w:val="clear" w:color="auto" w:fill="F4F8FF"/>
            <w:tcMar>
              <w:top w:w="60" w:type="dxa"/>
              <w:bottom w:w="60" w:type="dxa"/>
              <w:left w:w="80" w:type="dxa"/>
              <w:right w:w="80" w:type="dxa"/>
            </w:tcMar>
          </w:tcPr>
          <w:p>
            <w:pPr>
              <w:spacing w:after="0"/>
              <w:jc w:val="center"/>
            </w:pPr>
            <w:r>
              <w:rPr>
                <w:sz w:val="17"/>
              </w:rPr>
              <w:t>+0.733</w:t>
            </w:r>
          </w:p>
        </w:tc>
        <w:tc>
          <w:tcPr>
            <w:tcW w:w="720" w:type="dxa"/>
            <w:shd w:val="clear" w:color="auto" w:fill="F4F8FF"/>
            <w:tcMar>
              <w:top w:w="60" w:type="dxa"/>
              <w:bottom w:w="60" w:type="dxa"/>
              <w:left w:w="80" w:type="dxa"/>
              <w:right w:w="80" w:type="dxa"/>
            </w:tcMar>
          </w:tcPr>
          <w:p>
            <w:pPr>
              <w:spacing w:after="0"/>
              <w:jc w:val="center"/>
            </w:pPr>
            <w:r>
              <w:rPr>
                <w:sz w:val="17"/>
              </w:rPr>
              <w:t>.046 ★</w:t>
            </w:r>
          </w:p>
        </w:tc>
        <w:tc>
          <w:tcPr>
            <w:tcW w:w="720" w:type="dxa"/>
            <w:shd w:val="clear" w:color="auto" w:fill="F4F8FF"/>
            <w:tcMar>
              <w:top w:w="60" w:type="dxa"/>
              <w:bottom w:w="60" w:type="dxa"/>
              <w:left w:w="80" w:type="dxa"/>
              <w:right w:w="80" w:type="dxa"/>
            </w:tcMar>
          </w:tcPr>
          <w:p>
            <w:pPr>
              <w:spacing w:after="0"/>
              <w:jc w:val="center"/>
            </w:pPr>
            <w:r>
              <w:rPr>
                <w:sz w:val="17"/>
              </w:rPr>
              <w:t>+0.492</w:t>
            </w:r>
          </w:p>
        </w:tc>
      </w:tr>
      <w:tr>
        <w:tc>
          <w:tcPr>
            <w:tcW w:w="780" w:type="dxa"/>
            <w:tcMar>
              <w:top w:w="60" w:type="dxa"/>
              <w:bottom w:w="60" w:type="dxa"/>
              <w:left w:w="80" w:type="dxa"/>
              <w:right w:w="80" w:type="dxa"/>
            </w:tcMar>
          </w:tcPr>
          <w:p>
            <w:pPr>
              <w:spacing w:after="0"/>
            </w:pPr>
            <w:r>
              <w:rPr>
                <w:sz w:val="17"/>
              </w:rPr>
              <w:t>D</w:t>
            </w:r>
          </w:p>
        </w:tc>
        <w:tc>
          <w:tcPr>
            <w:tcW w:w="1300" w:type="dxa"/>
            <w:tcMar>
              <w:top w:w="60" w:type="dxa"/>
              <w:bottom w:w="60" w:type="dxa"/>
              <w:left w:w="80" w:type="dxa"/>
              <w:right w:w="80" w:type="dxa"/>
            </w:tcMar>
          </w:tcPr>
          <w:p>
            <w:pPr>
              <w:spacing w:after="0"/>
            </w:pPr>
            <w:r>
              <w:rPr>
                <w:sz w:val="17"/>
              </w:rPr>
              <w:t>NEQ + highway + PM2.5</w:t>
            </w:r>
          </w:p>
        </w:tc>
        <w:tc>
          <w:tcPr>
            <w:tcW w:w="720" w:type="dxa"/>
            <w:tcMar>
              <w:top w:w="60" w:type="dxa"/>
              <w:bottom w:w="60" w:type="dxa"/>
              <w:left w:w="80" w:type="dxa"/>
              <w:right w:w="80" w:type="dxa"/>
            </w:tcMar>
          </w:tcPr>
          <w:p>
            <w:pPr>
              <w:spacing w:after="0"/>
              <w:jc w:val="center"/>
            </w:pPr>
            <w:r>
              <w:rPr>
                <w:sz w:val="17"/>
              </w:rPr>
              <w:t>+0.910</w:t>
            </w:r>
          </w:p>
        </w:tc>
        <w:tc>
          <w:tcPr>
            <w:tcW w:w="720" w:type="dxa"/>
            <w:tcMar>
              <w:top w:w="60" w:type="dxa"/>
              <w:bottom w:w="60" w:type="dxa"/>
              <w:left w:w="80" w:type="dxa"/>
              <w:right w:w="80" w:type="dxa"/>
            </w:tcMar>
          </w:tcPr>
          <w:p>
            <w:pPr>
              <w:spacing w:after="0"/>
              <w:jc w:val="center"/>
            </w:pPr>
            <w:r>
              <w:rPr>
                <w:sz w:val="17"/>
              </w:rPr>
              <w:t>.041 ★</w:t>
            </w:r>
          </w:p>
        </w:tc>
        <w:tc>
          <w:tcPr>
            <w:tcW w:w="720" w:type="dxa"/>
            <w:tcMar>
              <w:top w:w="60" w:type="dxa"/>
              <w:bottom w:w="60" w:type="dxa"/>
              <w:left w:w="80" w:type="dxa"/>
              <w:right w:w="80" w:type="dxa"/>
            </w:tcMar>
          </w:tcPr>
          <w:p>
            <w:pPr>
              <w:spacing w:after="0"/>
              <w:jc w:val="center"/>
            </w:pPr>
            <w:r>
              <w:rPr>
                <w:sz w:val="17"/>
              </w:rPr>
              <w:t>−0.046</w:t>
            </w:r>
          </w:p>
        </w:tc>
        <w:tc>
          <w:tcPr>
            <w:tcW w:w="720" w:type="dxa"/>
            <w:tcMar>
              <w:top w:w="60" w:type="dxa"/>
              <w:bottom w:w="60" w:type="dxa"/>
              <w:left w:w="80" w:type="dxa"/>
              <w:right w:w="80" w:type="dxa"/>
            </w:tcMar>
          </w:tcPr>
          <w:p>
            <w:pPr>
              <w:spacing w:after="0"/>
              <w:jc w:val="center"/>
            </w:pPr>
            <w:r>
              <w:rPr>
                <w:sz w:val="17"/>
              </w:rPr>
              <w:t>.919 ns</w:t>
            </w:r>
          </w:p>
        </w:tc>
        <w:tc>
          <w:tcPr>
            <w:tcW w:w="720" w:type="dxa"/>
            <w:tcMar>
              <w:top w:w="60" w:type="dxa"/>
              <w:bottom w:w="60" w:type="dxa"/>
              <w:left w:w="80" w:type="dxa"/>
              <w:right w:w="80" w:type="dxa"/>
            </w:tcMar>
          </w:tcPr>
          <w:p>
            <w:pPr>
              <w:spacing w:after="0"/>
              <w:jc w:val="center"/>
            </w:pPr>
            <w:r>
              <w:rPr>
                <w:sz w:val="17"/>
              </w:rPr>
              <w:t>+0.768</w:t>
            </w:r>
          </w:p>
        </w:tc>
        <w:tc>
          <w:tcPr>
            <w:tcW w:w="720" w:type="dxa"/>
            <w:tcMar>
              <w:top w:w="60" w:type="dxa"/>
              <w:bottom w:w="60" w:type="dxa"/>
              <w:left w:w="80" w:type="dxa"/>
              <w:right w:w="80" w:type="dxa"/>
            </w:tcMar>
          </w:tcPr>
          <w:p>
            <w:pPr>
              <w:spacing w:after="0"/>
              <w:jc w:val="center"/>
            </w:pPr>
            <w:r>
              <w:rPr>
                <w:sz w:val="17"/>
              </w:rPr>
              <w:t>.133 ns</w:t>
            </w:r>
          </w:p>
        </w:tc>
        <w:tc>
          <w:tcPr>
            <w:tcW w:w="720" w:type="dxa"/>
            <w:tcMar>
              <w:top w:w="60" w:type="dxa"/>
              <w:bottom w:w="60" w:type="dxa"/>
              <w:left w:w="80" w:type="dxa"/>
              <w:right w:w="80" w:type="dxa"/>
            </w:tcMar>
          </w:tcPr>
          <w:p>
            <w:pPr>
              <w:spacing w:after="0"/>
              <w:jc w:val="center"/>
            </w:pPr>
            <w:r>
              <w:rPr>
                <w:sz w:val="17"/>
              </w:rPr>
              <w:t>+0.793</w:t>
            </w:r>
          </w:p>
        </w:tc>
        <w:tc>
          <w:tcPr>
            <w:tcW w:w="720" w:type="dxa"/>
            <w:tcMar>
              <w:top w:w="60" w:type="dxa"/>
              <w:bottom w:w="60" w:type="dxa"/>
              <w:left w:w="80" w:type="dxa"/>
              <w:right w:w="80" w:type="dxa"/>
            </w:tcMar>
          </w:tcPr>
          <w:p>
            <w:pPr>
              <w:spacing w:after="0"/>
              <w:jc w:val="center"/>
            </w:pPr>
            <w:r>
              <w:rPr>
                <w:sz w:val="17"/>
              </w:rPr>
              <w:t>.035 ★</w:t>
            </w:r>
          </w:p>
        </w:tc>
        <w:tc>
          <w:tcPr>
            <w:tcW w:w="720" w:type="dxa"/>
            <w:tcMar>
              <w:top w:w="60" w:type="dxa"/>
              <w:bottom w:w="60" w:type="dxa"/>
              <w:left w:w="80" w:type="dxa"/>
              <w:right w:w="80" w:type="dxa"/>
            </w:tcMar>
          </w:tcPr>
          <w:p>
            <w:pPr>
              <w:spacing w:after="0"/>
              <w:jc w:val="center"/>
            </w:pPr>
            <w:r>
              <w:rPr>
                <w:sz w:val="17"/>
              </w:rPr>
              <w:t>+0.518</w:t>
            </w:r>
          </w:p>
        </w:tc>
      </w:tr>
    </w:tbl>
    <w:p w14:paraId="46E5C040" w14:textId="77777777" w:rsidR="003151A7" w:rsidRDefault="00000000">
      <w:pPr>
        <w:spacing w:after="80"/>
      </w:pPr>
      <w:r>
        <w:rPr>
          <w:i/>
          <w:sz w:val="18"/>
          <w:color w:val="64748B"/>
        </w:rPr>
        <w:t xml:space="preserve">Note. hw = highway distance (z-scored; positive = farther from highway). PM = PM2.5 annual mean (z-scored; positive = higher pollution). Model A = primary specification. ★★ p &lt; .01, ★ p &lt; .05, ns = not significant. Algebra omitted from table; no model reached significance on any predictor.</w:t>
      </w:r>
    </w:p>
    <w:p w14:paraId="2AD1626A" w14:textId="77777777" w:rsidR="003151A7" w:rsidRDefault="00000000">
      <w:pPr>
        <w:pStyle w:val="Heading2"/>
        <w:spacing w:before="300" w:after="100"/>
      </w:pPr>
      <w:r>
        <w:t>9.4  Interpretation</w:t>
      </w:r>
    </w:p>
    <w:p w14:paraId="1A50A9C2" w14:textId="77777777" w:rsidR="003151A7" w:rsidRDefault="00000000">
      <w:pPr>
        <w:spacing w:after="180" w:line="400" w:lineRule="auto"/>
      </w:pPr>
      <w:r>
        <w:rPr>
          <w:b/>
        </w:rPr>
        <w:t xml:space="preserve">Highway proximity adds no independent signal (Model B). </w:t>
      </w:r>
      <w:r>
        <w:t xml:space="preserve">When entered alongside the NEQ zoning index, highway distance shows effectively zero association with ELA or science performance (hw γ = −0.056, p = .900 for ELA). This is not evidence that highways are irrelevant to student outcomes — the documented air quality and noise mechanisms remain theoretically valid — but it indicates that at the community district level, highway proximity does not explain between-neighborhood variance beyond what commercial zoning already captures. The 43 community districts are large enough geographic units that within-district variation in highway exposure is not picked up by a neighborhood-level mean distance.</w:t>
      </w:r>
    </w:p>
    <w:p w14:paraId="5B515266" w14:textId="77777777" w:rsidR="003151A7" w:rsidRDefault="00000000">
      <w:pPr>
        <w:spacing w:after="180" w:line="400" w:lineRule="auto"/>
      </w:pPr>
      <w:r>
        <w:rPr>
          <w:b/>
        </w:rPr>
        <w:t xml:space="preserve">PM2.5 air quality shows a consistent positive association with school performance when entered alongside NEQ (Model C). </w:t>
      </w:r>
      <w:r>
        <w:t xml:space="preserve">The PM2.5 coefficient is positive (ELA: γ = +0.763, p = .131; Science: γ = +0.492, p = .231), indicating that — after the NEQ zoning index is controlled — districts with higher PM2.5 concentrations tend to have somewhat higher school scores. This counterintuitive direction reflects the geographic pattern of PM2.5 in NYC: the highest pollution districts are commercial Manhattan neighborhoods (Chelsea PM2.5 = 8.32, Gramercy 7.93), which also have high NEQ scores and high school performance. PM2.5 in this sample is thus a partial proxy for urban commercial density, not for industrial or highway-related pollution burden. This collinearity explains why combining NEQ and PM2.5 into a single composite (NEQ v4) destroys the zoning signal.</w:t>
      </w:r>
    </w:p>
    <w:p w14:paraId="51DCCE5E" w14:textId="77777777" w:rsidR="003151A7" w:rsidRDefault="00000000">
      <w:pPr>
        <w:spacing w:after="180" w:line="400" w:lineRule="auto"/>
      </w:pPr>
      <w:r>
        <w:rPr>
          <w:b/>
        </w:rPr>
        <w:t xml:space="preserve">The NEQ zoning effect is robust across all multi-predictor specifications (Models B, C, D). </w:t>
      </w:r>
      <w:r>
        <w:t xml:space="preserve">When highway proximity and PM2.5 are entered as separate Level 2 predictors rather than combined into a composite, the NEQ ELA coefficient remains significant in every model (Model B: γ = +1.190, p = .003; Model C: γ = +0.903, p = .038; Model D: γ = +0.910, p = .041). The ELA finding is not an artifact of unmeasured environmental burden. Science replicates the pattern across Models B and D. Algebra remains non-significant throughout.</w:t>
      </w:r>
    </w:p>
    <w:p w14:paraId="119FE72B" w14:textId="77777777" w:rsidR="003151A7" w:rsidRDefault="00000000">
      <w:pPr>
        <w:spacing w:after="180" w:line="400" w:lineRule="auto"/>
      </w:pPr>
      <w:r>
        <w:rPr>
          <w:b/>
        </w:rPr>
        <w:t xml:space="preserve">Methodological implication. </w:t>
      </w:r>
      <w:r>
        <w:t xml:space="preserve">The environmental policy variable analysis produces two conclusions relevant to future work. First, the two-component NEQ (CommFAR + ResZone%) remains the cleanest Level 2 specification because both components measure direct planning policy outputs with low collinearity to school-level predictors and to each other. Second, the NTA geographic level (195 units) would offer substantially more statistical power for testing highway proximity and air quality as independent Level 2 predictors — the community district aggregation (43 units) may be too coarse to detect the within-borough variation in environmental burden that the literature predicts matters most.</w:t>
      </w:r>
    </w:p>
    <w:p w14:paraId="1336C0E6" w14:textId="77777777" w:rsidR="003151A7" w:rsidRDefault="00000000">
      <w:pPr>
        <w:spacing w:after="40" w:line="400" w:lineRule="auto"/>
        <w:jc w:val="center"/>
      </w:pPr>
      <w:r>
        <w:rPr>
          <w:color w:val="64748B"/>
          <w:sz w:val="17"/>
          <w:szCs w:val="17"/>
        </w:rPr>
        <w:t>Vi Kovacevic  ·  CUNY Graduate Center, M.S. Data Analysis &amp; Visualization  ·  May 2026  ·  Adviser: Dr. Howard Everson</w:t>
      </w:r>
    </w:p>
    <w:p w14:paraId="3692FD3D" w14:textId="77777777" w:rsidR="003151A7" w:rsidRDefault="00000000">
      <w:pPr>
        <w:spacing w:after="180" w:line="400" w:lineRule="auto"/>
        <w:jc w:val="center"/>
      </w:pPr>
      <w:r>
        <w:rPr>
          <w:i/>
          <w:iCs/>
          <w:color w:val="64748B"/>
          <w:sz w:val="17"/>
          <w:szCs w:val="17"/>
        </w:rPr>
        <w:t>Methods: Python 3.12 (statsmodels, pandas, scikit-learn)  ·  Data: NYSED, NYC PLUTO, NYC OpenData, NYCCHA, MTA, ACS</w:t>
      </w:r>
    </w:p>
    <w:sectPr w:rsidR="003151A7">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ADA07" w14:textId="77777777" w:rsidR="007C7248" w:rsidRDefault="007C7248">
      <w:r>
        <w:separator/>
      </w:r>
    </w:p>
  </w:endnote>
  <w:endnote w:type="continuationSeparator" w:id="0">
    <w:p w14:paraId="43357D8F" w14:textId="77777777" w:rsidR="007C7248" w:rsidRDefault="007C7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A44C" w14:textId="77777777" w:rsidR="003151A7" w:rsidRDefault="00000000">
    <w:pPr>
      <w:pBdr>
        <w:top w:val="single" w:sz="2" w:space="2" w:color="D1D9E8"/>
      </w:pBdr>
      <w:jc w:val="right"/>
    </w:pPr>
    <w:r>
      <w:rPr>
        <w:color w:val="64748B"/>
        <w:sz w:val="16"/>
        <w:szCs w:val="16"/>
      </w:rPr>
      <w:t xml:space="preserve">CUNY Graduate </w:t>
    </w:r>
    <w:proofErr w:type="gramStart"/>
    <w:r>
      <w:rPr>
        <w:color w:val="64748B"/>
        <w:sz w:val="16"/>
        <w:szCs w:val="16"/>
      </w:rPr>
      <w:t>Center  ·</w:t>
    </w:r>
    <w:proofErr w:type="gramEnd"/>
    <w:r>
      <w:rPr>
        <w:color w:val="64748B"/>
        <w:sz w:val="16"/>
        <w:szCs w:val="16"/>
      </w:rPr>
      <w:t xml:space="preserve">  Adviser: Dr. Howard Everson     </w:t>
    </w:r>
    <w:r>
      <w:rPr>
        <w:color w:val="64748B"/>
        <w:sz w:val="16"/>
        <w:szCs w:val="16"/>
      </w:rPr>
      <w:fldChar w:fldCharType="begin"/>
    </w:r>
    <w:r>
      <w:rPr>
        <w:color w:val="64748B"/>
        <w:sz w:val="16"/>
        <w:szCs w:val="16"/>
      </w:rPr>
      <w:instrText>PAGE</w:instrText>
    </w:r>
    <w:r>
      <w:rPr>
        <w:color w:val="64748B"/>
        <w:sz w:val="16"/>
        <w:szCs w:val="16"/>
      </w:rPr>
      <w:fldChar w:fldCharType="separate"/>
    </w:r>
    <w:r w:rsidR="004722E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48630" w14:textId="77777777" w:rsidR="007C7248" w:rsidRDefault="007C7248">
      <w:r>
        <w:separator/>
      </w:r>
    </w:p>
  </w:footnote>
  <w:footnote w:type="continuationSeparator" w:id="0">
    <w:p w14:paraId="2B134E29" w14:textId="77777777" w:rsidR="007C7248" w:rsidRDefault="007C7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C59D" w14:textId="1E3A0B37" w:rsidR="003151A7" w:rsidRDefault="00000000">
    <w:pPr>
      <w:pBdr>
        <w:bottom w:val="single" w:sz="4" w:space="2" w:color="1A56C4"/>
      </w:pBdr>
    </w:pPr>
    <w:r>
      <w:rPr>
        <w:color w:val="64748B"/>
        <w:sz w:val="16"/>
        <w:szCs w:val="16"/>
      </w:rPr>
      <w:t xml:space="preserve">Behind the </w:t>
    </w:r>
    <w:proofErr w:type="gramStart"/>
    <w:r>
      <w:rPr>
        <w:color w:val="64748B"/>
        <w:sz w:val="16"/>
        <w:szCs w:val="16"/>
      </w:rPr>
      <w:t>Score</w:t>
    </w:r>
    <w:r w:rsidR="00F52256">
      <w:rPr>
        <w:color w:val="64748B"/>
        <w:sz w:val="16"/>
        <w:szCs w:val="16"/>
      </w:rPr>
      <w:t>s</w:t>
    </w:r>
    <w:r>
      <w:rPr>
        <w:color w:val="64748B"/>
        <w:sz w:val="16"/>
        <w:szCs w:val="16"/>
      </w:rPr>
      <w:t xml:space="preserve">  |</w:t>
    </w:r>
    <w:proofErr w:type="gramEnd"/>
    <w:r>
      <w:rPr>
        <w:color w:val="64748B"/>
        <w:sz w:val="16"/>
        <w:szCs w:val="16"/>
      </w:rPr>
      <w:t xml:space="preserve">  Quantitative Methods </w:t>
    </w:r>
    <w:proofErr w:type="gramStart"/>
    <w:r>
      <w:rPr>
        <w:color w:val="64748B"/>
        <w:sz w:val="16"/>
        <w:szCs w:val="16"/>
      </w:rPr>
      <w:t>Report  |</w:t>
    </w:r>
    <w:proofErr w:type="gramEnd"/>
    <w:r>
      <w:rPr>
        <w:color w:val="64748B"/>
        <w:sz w:val="16"/>
        <w:szCs w:val="16"/>
      </w:rPr>
      <w:t xml:space="preserve">  Kovacevic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BDC"/>
    <w:multiLevelType w:val="hybridMultilevel"/>
    <w:tmpl w:val="C21094AE"/>
    <w:lvl w:ilvl="0" w:tplc="6EA42348">
      <w:start w:val="1"/>
      <w:numFmt w:val="bullet"/>
      <w:lvlText w:val="●"/>
      <w:lvlJc w:val="left"/>
      <w:pPr>
        <w:ind w:left="720" w:hanging="360"/>
      </w:pPr>
    </w:lvl>
    <w:lvl w:ilvl="1" w:tplc="FE06F676">
      <w:start w:val="1"/>
      <w:numFmt w:val="bullet"/>
      <w:lvlText w:val="○"/>
      <w:lvlJc w:val="left"/>
      <w:pPr>
        <w:ind w:left="1440" w:hanging="360"/>
      </w:pPr>
    </w:lvl>
    <w:lvl w:ilvl="2" w:tplc="8CE83F96">
      <w:start w:val="1"/>
      <w:numFmt w:val="bullet"/>
      <w:lvlText w:val="■"/>
      <w:lvlJc w:val="left"/>
      <w:pPr>
        <w:ind w:left="2160" w:hanging="360"/>
      </w:pPr>
    </w:lvl>
    <w:lvl w:ilvl="3" w:tplc="DAB04F1A">
      <w:start w:val="1"/>
      <w:numFmt w:val="bullet"/>
      <w:lvlText w:val="●"/>
      <w:lvlJc w:val="left"/>
      <w:pPr>
        <w:ind w:left="2880" w:hanging="360"/>
      </w:pPr>
    </w:lvl>
    <w:lvl w:ilvl="4" w:tplc="FFCE17AE">
      <w:start w:val="1"/>
      <w:numFmt w:val="bullet"/>
      <w:lvlText w:val="○"/>
      <w:lvlJc w:val="left"/>
      <w:pPr>
        <w:ind w:left="3600" w:hanging="360"/>
      </w:pPr>
    </w:lvl>
    <w:lvl w:ilvl="5" w:tplc="BBFC2C5E">
      <w:start w:val="1"/>
      <w:numFmt w:val="bullet"/>
      <w:lvlText w:val="■"/>
      <w:lvlJc w:val="left"/>
      <w:pPr>
        <w:ind w:left="4320" w:hanging="360"/>
      </w:pPr>
    </w:lvl>
    <w:lvl w:ilvl="6" w:tplc="6114AC0C">
      <w:start w:val="1"/>
      <w:numFmt w:val="bullet"/>
      <w:lvlText w:val="●"/>
      <w:lvlJc w:val="left"/>
      <w:pPr>
        <w:ind w:left="5040" w:hanging="360"/>
      </w:pPr>
    </w:lvl>
    <w:lvl w:ilvl="7" w:tplc="BFD4D0B8">
      <w:start w:val="1"/>
      <w:numFmt w:val="bullet"/>
      <w:lvlText w:val="●"/>
      <w:lvlJc w:val="left"/>
      <w:pPr>
        <w:ind w:left="5760" w:hanging="360"/>
      </w:pPr>
    </w:lvl>
    <w:lvl w:ilvl="8" w:tplc="AFC81AAE">
      <w:start w:val="1"/>
      <w:numFmt w:val="bullet"/>
      <w:lvlText w:val="●"/>
      <w:lvlJc w:val="left"/>
      <w:pPr>
        <w:ind w:left="6480" w:hanging="360"/>
      </w:pPr>
    </w:lvl>
  </w:abstractNum>
  <w:num w:numId="1" w16cid:durableId="1312636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1A7"/>
    <w:rsid w:val="003151A7"/>
    <w:rsid w:val="004722EE"/>
    <w:rsid w:val="005F6573"/>
    <w:rsid w:val="007B275E"/>
    <w:rsid w:val="007C7248"/>
    <w:rsid w:val="00A15F74"/>
    <w:rsid w:val="00A80AAA"/>
    <w:rsid w:val="00C87617"/>
    <w:rsid w:val="00F52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2CB2E"/>
  <w15:docId w15:val="{3791CFAF-5855-7244-87A8-745C9AA3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20"/>
      <w:outlineLvl w:val="0"/>
    </w:pPr>
    <w:rPr>
      <w:b/>
      <w:bCs/>
      <w:color w:val="0D2B5E"/>
      <w:sz w:val="28"/>
      <w:szCs w:val="28"/>
    </w:rPr>
  </w:style>
  <w:style w:type="paragraph" w:styleId="Heading2">
    <w:name w:val="heading 2"/>
    <w:uiPriority w:val="9"/>
    <w:unhideWhenUsed/>
    <w:qFormat/>
    <w:pPr>
      <w:spacing w:before="300" w:after="100"/>
      <w:outlineLvl w:val="1"/>
    </w:pPr>
    <w:rPr>
      <w:b/>
      <w:bCs/>
      <w:color w:val="1A56C4"/>
      <w:sz w:val="23"/>
      <w:szCs w:val="23"/>
    </w:rPr>
  </w:style>
  <w:style w:type="paragraph" w:styleId="Heading3">
    <w:name w:val="heading 3"/>
    <w:uiPriority w:val="9"/>
    <w:semiHidden/>
    <w:unhideWhenUsed/>
    <w:qFormat/>
    <w:pPr>
      <w:spacing w:before="220" w:after="80"/>
      <w:outlineLvl w:val="2"/>
    </w:pPr>
    <w:rPr>
      <w:b/>
      <w:bCs/>
      <w:color w:val="2C3E5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2256"/>
    <w:pPr>
      <w:tabs>
        <w:tab w:val="center" w:pos="4680"/>
        <w:tab w:val="right" w:pos="9360"/>
      </w:tabs>
    </w:pPr>
  </w:style>
  <w:style w:type="character" w:customStyle="1" w:styleId="HeaderChar">
    <w:name w:val="Header Char"/>
    <w:basedOn w:val="DefaultParagraphFont"/>
    <w:link w:val="Header"/>
    <w:uiPriority w:val="99"/>
    <w:rsid w:val="00F52256"/>
  </w:style>
  <w:style w:type="paragraph" w:styleId="Footer">
    <w:name w:val="footer"/>
    <w:basedOn w:val="Normal"/>
    <w:link w:val="FooterChar"/>
    <w:uiPriority w:val="99"/>
    <w:unhideWhenUsed/>
    <w:rsid w:val="00F52256"/>
    <w:pPr>
      <w:tabs>
        <w:tab w:val="center" w:pos="4680"/>
        <w:tab w:val="right" w:pos="9360"/>
      </w:tabs>
    </w:pPr>
  </w:style>
  <w:style w:type="character" w:customStyle="1" w:styleId="FooterChar">
    <w:name w:val="Footer Char"/>
    <w:basedOn w:val="DefaultParagraphFont"/>
    <w:link w:val="Footer"/>
    <w:uiPriority w:val="99"/>
    <w:rsid w:val="00F5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4994</Words>
  <Characters>29171</Characters>
  <Application>Microsoft Office Word</Application>
  <DocSecurity>0</DocSecurity>
  <Lines>1166</Lines>
  <Paragraphs>742</Paragraphs>
  <ScaleCrop>false</ScaleCrop>
  <Company/>
  <LinksUpToDate>false</LinksUpToDate>
  <CharactersWithSpaces>33423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 Kovacevic</cp:lastModifiedBy>
  <cp:revision>2</cp:revision>
  <dcterms:created xsi:type="dcterms:W3CDTF">2026-05-06T01:46:00Z</dcterms:created>
  <dcterms:modified xsi:type="dcterms:W3CDTF">2026-05-06T01:46:00Z</dcterms:modified>
</cp:coreProperties>
</file>