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Calibri" w:cs="Calibri" w:eastAsia="Calibri" w:hAnsi="Calibri"/>
          <w:b w:val="false"/>
          <w:bCs w:val="false"/>
          <w:i w:val="false"/>
          <w:iCs w:val="false"/>
          <w:color w:val="2D3748"/>
          <w:sz w:val="2"/>
          <w:szCs w:val="2"/>
        </w:rPr>
        <w:t xml:space="preserve"/>
      </w:r>
    </w:p>
    <w:p>
      <w:pPr>
        <w:spacing w:after="80" w:before="0"/>
        <w:jc w:val="center"/>
      </w:pPr>
      <w:r>
        <w:rPr>
          <w:rFonts w:ascii="Calibri" w:cs="Calibri" w:eastAsia="Calibri" w:hAnsi="Calibri"/>
          <w:b/>
          <w:bCs/>
          <w:i w:val="false"/>
          <w:iCs w:val="false"/>
          <w:color w:val="64748B"/>
          <w:sz w:val="13"/>
          <w:szCs w:val="13"/>
        </w:rPr>
        <w:t xml:space="preserve">BEHIND THE SCORE</w:t>
      </w:r>
    </w:p>
    <w:p>
      <w:pPr>
        <w:spacing w:after="100" w:before="0"/>
        <w:jc w:val="center"/>
      </w:pPr>
      <w:r>
        <w:rPr>
          <w:rFonts w:ascii="Calibri" w:cs="Calibri" w:eastAsia="Calibri" w:hAnsi="Calibri"/>
          <w:b/>
          <w:bCs/>
          <w:i w:val="false"/>
          <w:iCs w:val="false"/>
          <w:color w:val="1A56C4"/>
          <w:sz w:val="52"/>
          <w:szCs w:val="52"/>
        </w:rPr>
        <w:t xml:space="preserve">Variable Codebook</w:t>
      </w:r>
    </w:p>
    <w:p>
      <w:pPr>
        <w:spacing w:after="200" w:before="0"/>
        <w:jc w:val="center"/>
      </w:pPr>
      <w:r>
        <w:rPr>
          <w:rFonts w:ascii="Calibri" w:cs="Calibri" w:eastAsia="Calibri" w:hAnsi="Calibri"/>
          <w:b w:val="false"/>
          <w:bCs w:val="false"/>
          <w:i/>
          <w:iCs/>
          <w:color w:val="64748B"/>
          <w:sz w:val="19"/>
          <w:szCs w:val="19"/>
        </w:rPr>
        <w:t xml:space="preserve">Every variable: what it is · where it comes from · how it fits in the equations · what the model found</w:t>
      </w:r>
    </w:p>
    <w:p>
      <w:pPr>
        <w:pBdr>
          <w:bottom w:val="single" w:color="1A56C4" w:sz="6" w:space="1"/>
        </w:pBdr>
        <w:spacing w:after="0" w:before="0"/>
      </w:pPr>
    </w:p>
    <w:p>
      <w:pPr>
        <w:spacing w:after="80" w:before="0"/>
      </w:pPr>
      <w:r>
        <w:rPr>
          <w:rFonts w:ascii="Calibri" w:cs="Calibri" w:eastAsia="Calibri" w:hAnsi="Calibri"/>
          <w:b w:val="false"/>
          <w:bCs w:val="false"/>
          <w:i w:val="false"/>
          <w:iCs w:val="false"/>
          <w:color w:val="2D3748"/>
          <w:sz w:val="2"/>
          <w:szCs w:val="2"/>
        </w:rPr>
        <w:t xml:space="preserve"/>
      </w:r>
    </w:p>
    <w:p>
      <w:pPr>
        <w:spacing w:after="40" w:before="0"/>
        <w:jc w:val="center"/>
      </w:pPr>
      <w:r>
        <w:rPr>
          <w:rFonts w:ascii="Calibri" w:cs="Calibri" w:eastAsia="Calibri" w:hAnsi="Calibri"/>
          <w:b/>
          <w:bCs/>
          <w:i w:val="false"/>
          <w:iCs w:val="false"/>
          <w:color w:val="1C2B4A"/>
          <w:sz w:val="22"/>
          <w:szCs w:val="22"/>
        </w:rPr>
        <w:t xml:space="preserve">Vi Kovacevic</w:t>
      </w:r>
    </w:p>
    <w:p>
      <w:pPr>
        <w:spacing w:after="40" w:before="0"/>
        <w:jc w:val="center"/>
      </w:pPr>
      <w:r>
        <w:rPr>
          <w:rFonts w:ascii="Calibri" w:cs="Calibri" w:eastAsia="Calibri" w:hAnsi="Calibri"/>
          <w:b w:val="false"/>
          <w:bCs w:val="false"/>
          <w:i w:val="false"/>
          <w:iCs w:val="false"/>
          <w:color w:val="64748B"/>
          <w:sz w:val="19"/>
          <w:szCs w:val="19"/>
        </w:rPr>
        <w:t xml:space="preserve">M.S. Data Analysis &amp; Visualization  ·  CUNY Graduate Center</w:t>
      </w:r>
    </w:p>
    <w:p>
      <w:pPr>
        <w:spacing w:after="200" w:before="0"/>
        <w:jc w:val="center"/>
      </w:pPr>
      <w:r>
        <w:rPr>
          <w:rFonts w:ascii="Calibri" w:cs="Calibri" w:eastAsia="Calibri" w:hAnsi="Calibri"/>
          <w:b w:val="false"/>
          <w:bCs w:val="false"/>
          <w:i w:val="false"/>
          <w:iCs w:val="false"/>
          <w:color w:val="64748B"/>
          <w:sz w:val="19"/>
          <w:szCs w:val="19"/>
        </w:rPr>
        <w:t xml:space="preserve">Adviser: Dr. Howard Everson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80"/>
              <w:left w:type="dxa" w:w="240"/>
              <w:bottom w:type="dxa" w:w="180"/>
              <w:right w:type="dxa" w:w="240"/>
            </w:tcMar>
          </w:tcPr>
          <w:p>
            <w:pPr>
              <w:spacing w:after="80" w:before="0"/>
            </w:pPr>
            <w:r>
              <w:rPr>
                <w:rFonts w:ascii="Calibri" w:cs="Calibri" w:eastAsia="Calibri" w:hAnsi="Calibri"/>
                <w:b/>
                <w:bCs/>
                <w:i w:val="false"/>
                <w:iCs w:val="false"/>
                <w:color w:val="0D3880"/>
                <w:sz w:val="21"/>
                <w:szCs w:val="21"/>
              </w:rPr>
              <w:t xml:space="preserve">How to use this document</w:t>
            </w:r>
          </w:p>
          <w:p>
            <w:pPr>
              <w:spacing w:after="0" w:before="0" w:line="400"/>
            </w:pPr>
            <w:r>
              <w:rPr>
                <w:rFonts w:ascii="Calibri" w:cs="Calibri" w:eastAsia="Calibri" w:hAnsi="Calibri"/>
                <w:b w:val="false"/>
                <w:bCs w:val="false"/>
                <w:i w:val="false"/>
                <w:iCs w:val="false"/>
                <w:color w:val="1C2B4A"/>
                <w:sz w:val="20"/>
                <w:szCs w:val="20"/>
              </w:rPr>
              <w:t xml:space="preserve">Each variable is presented as a self-contained section with: a plain-English description of what it measures, the exact data source, summary statistics from the 2023 dataset, where it appears in the model equations, a results table showing the coefficient for each of the three exams, and a plain-language interpretation. You do not need a statistics background to read this — every technical term is explained where it appears.</w:t>
            </w:r>
          </w:p>
        </w:tc>
      </w:tr>
    </w:tbl>
    <w:p>
      <w:pPr>
        <w:spacing w:after="200" w:before="0"/>
      </w:pPr>
      <w:r>
        <w:rPr>
          <w:rFonts w:ascii="Calibri" w:cs="Calibri" w:eastAsia="Calibri" w:hAnsi="Calibri"/>
          <w:b w:val="false"/>
          <w:bCs w:val="false"/>
          <w:i w:val="false"/>
          <w:iCs w:val="false"/>
          <w:color w:val="2D3748"/>
          <w:sz w:val="2"/>
          <w:szCs w:val="2"/>
        </w:rPr>
        <w:t xml:space="preserve"/>
      </w:r>
    </w:p>
    <w:p>
      <w:pPr>
        <w:spacing w:after="6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880" w:val="clear"/>
            <w:tcMar>
              <w:top w:type="dxa" w:w="200"/>
              <w:left w:type="dxa" w:w="280"/>
              <w:bottom w:type="dxa" w:w="200"/>
              <w:right w:type="dxa" w:w="280"/>
            </w:tcMar>
          </w:tcPr>
          <w:p>
            <w:pPr>
              <w:spacing w:after="60" w:before="0"/>
            </w:pPr>
            <w:r>
              <w:rPr>
                <w:rFonts w:ascii="Calibri" w:cs="Calibri" w:eastAsia="Calibri" w:hAnsi="Calibri"/>
                <w:b/>
                <w:bCs/>
                <w:i w:val="false"/>
                <w:iCs w:val="false"/>
                <w:color w:val="93C5FD"/>
                <w:sz w:val="13"/>
                <w:szCs w:val="13"/>
              </w:rPr>
              <w:t xml:space="preserve">SECTION 1</w:t>
            </w:r>
          </w:p>
          <w:p>
            <w:pPr>
              <w:spacing w:after="40" w:before="0"/>
            </w:pPr>
            <w:r>
              <w:rPr>
                <w:rFonts w:ascii="Calibri" w:cs="Calibri" w:eastAsia="Calibri" w:hAnsi="Calibri"/>
                <w:b/>
                <w:bCs/>
                <w:i w:val="false"/>
                <w:iCs w:val="false"/>
                <w:color w:val="FFFFFF"/>
                <w:sz w:val="32"/>
                <w:szCs w:val="32"/>
              </w:rPr>
              <w:t xml:space="preserve">The Outcome Variable</w:t>
            </w:r>
          </w:p>
          <w:p>
            <w:pPr>
              <w:spacing w:after="0" w:before="0"/>
            </w:pPr>
            <w:r>
              <w:rPr>
                <w:rFonts w:ascii="Calibri" w:cs="Calibri" w:eastAsia="Calibri" w:hAnsi="Calibri"/>
                <w:b w:val="false"/>
                <w:bCs w:val="false"/>
                <w:i w:val="false"/>
                <w:iCs w:val="false"/>
                <w:color w:val="93C5FD"/>
                <w:sz w:val="18"/>
                <w:szCs w:val="18"/>
              </w:rPr>
              <w:t xml:space="preserve">Mean Regents Exam Score — the thing the model is trying to predict</w:t>
            </w:r>
          </w:p>
        </w:tc>
      </w:tr>
    </w:tbl>
    <w:p>
      <w:pPr>
        <w:spacing w:after="12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model is trying to explain variation in Regents exam performance across NYC public high schools. The outcome variable is the school-level mean score on a given Regents exam — one number per school, the average of all students who sat that exam in the 2022-23 school year. Three exams are analyzed separately because they respond differently to school and neighborhood conditions.</w:t>
      </w:r>
    </w:p>
    <w:p>
      <w:pPr>
        <w:spacing w:after="12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62.26</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46.1–91.8</w:t>
            </w:r>
          </w:p>
        </w:tc>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69.39</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27.0–95.6</w:t>
            </w:r>
          </w:p>
        </w:tc>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63.11</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44.6–93.1</w:t>
            </w:r>
          </w:p>
        </w:tc>
      </w:tr>
      <w:tr>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Algebra I — mean</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Algebra I — range</w:t>
            </w:r>
          </w:p>
        </w:tc>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ELA — mean</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ELA — range</w:t>
            </w:r>
          </w:p>
        </w:tc>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Living Env — mean</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Living Env — range</w:t>
            </w:r>
          </w:p>
        </w:tc>
      </w:tr>
    </w:tbl>
    <w:p>
      <w:pPr>
        <w:spacing w:after="12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NYSED Report Card Database  —  SRC2024_Group5.mdb</w:t>
            </w:r>
          </w:p>
          <w:p>
            <w:pPr>
              <w:spacing w:after="0" w:before="40" w:line="340"/>
            </w:pPr>
            <w:r>
              <w:rPr>
                <w:rFonts w:ascii="Calibri" w:cs="Calibri" w:eastAsia="Calibri" w:hAnsi="Calibri"/>
                <w:b w:val="false"/>
                <w:bCs w:val="false"/>
                <w:i w:val="false"/>
                <w:iCs w:val="false"/>
                <w:color w:val="2D3748"/>
                <w:sz w:val="18"/>
                <w:szCs w:val="18"/>
              </w:rPr>
              <w:t xml:space="preserve">Table:   Annual Regents Results</w:t>
            </w:r>
          </w:p>
          <w:p>
            <w:pPr>
              <w:spacing w:after="0" w:before="40" w:line="340"/>
            </w:pPr>
            <w:r>
              <w:rPr>
                <w:rFonts w:ascii="Calibri" w:cs="Calibri" w:eastAsia="Calibri" w:hAnsi="Calibri"/>
                <w:b w:val="false"/>
                <w:bCs w:val="false"/>
                <w:i w:val="false"/>
                <w:iCs w:val="false"/>
                <w:color w:val="2D3748"/>
                <w:sz w:val="18"/>
                <w:szCs w:val="18"/>
              </w:rPr>
              <w:t xml:space="preserve">Field:   MEAN_SCORE</w:t>
            </w:r>
          </w:p>
          <w:p>
            <w:pPr>
              <w:spacing w:after="0" w:before="40" w:line="340"/>
            </w:pPr>
            <w:r>
              <w:rPr>
                <w:rFonts w:ascii="Calibri" w:cs="Calibri" w:eastAsia="Calibri" w:hAnsi="Calibri"/>
                <w:b w:val="false"/>
                <w:bCs w:val="false"/>
                <w:i w:val="false"/>
                <w:iCs w:val="false"/>
                <w:color w:val="2D3748"/>
                <w:sz w:val="18"/>
                <w:szCs w:val="18"/>
              </w:rPr>
              <w:t xml:space="preserve">Year:    2022-23 school year</w:t>
            </w:r>
          </w:p>
          <w:p>
            <w:pPr>
              <w:spacing w:after="0" w:before="40" w:line="340"/>
            </w:pPr>
            <w:r>
              <w:rPr>
                <w:rFonts w:ascii="Calibri" w:cs="Calibri" w:eastAsia="Calibri" w:hAnsi="Calibri"/>
                <w:b w:val="false"/>
                <w:bCs w:val="false"/>
                <w:i w:val="false"/>
                <w:iCs w:val="false"/>
                <w:color w:val="2D3748"/>
                <w:sz w:val="18"/>
                <w:szCs w:val="18"/>
              </w:rPr>
              <w:t xml:space="preserve">URL:     https://data.nysed.gov/downloads.php  →  2022-23  →  Report Card Database</w:t>
            </w:r>
          </w:p>
        </w:tc>
      </w:tr>
    </w:tbl>
    <w:p>
      <w:pPr>
        <w:spacing w:after="12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SAMPLE</w:t>
      </w:r>
    </w:p>
    <w:p>
      <w:pPr>
        <w:spacing w:after="160" w:before="0" w:line="400"/>
        <w:ind/>
        <w:jc w:val="left"/>
      </w:pPr>
      <w:r>
        <w:rPr>
          <w:rFonts w:ascii="Calibri" w:cs="Calibri" w:eastAsia="Calibri" w:hAnsi="Calibri"/>
          <w:b/>
          <w:bCs/>
          <w:i w:val="false"/>
          <w:iCs w:val="false"/>
          <w:color w:val="1C2B4A"/>
          <w:sz w:val="21"/>
          <w:szCs w:val="21"/>
        </w:rPr>
        <w:t xml:space="preserve">Algebra I (CC): </w:t>
      </w:r>
      <w:r>
        <w:rPr>
          <w:rFonts w:ascii="Calibri" w:cs="Calibri" w:eastAsia="Calibri" w:hAnsi="Calibri"/>
          <w:b w:val="false"/>
          <w:bCs w:val="false"/>
          <w:i w:val="false"/>
          <w:iCs w:val="false"/>
          <w:color w:val="2D3748"/>
          <w:sz w:val="21"/>
          <w:szCs w:val="21"/>
        </w:rPr>
        <w:t xml:space="preserve">371 schools · 43 neighborhoods · 0 missing values</w:t>
      </w:r>
    </w:p>
    <w:p>
      <w:pPr>
        <w:spacing w:after="160" w:before="0" w:line="400"/>
        <w:ind/>
        <w:jc w:val="left"/>
      </w:pPr>
      <w:r>
        <w:rPr>
          <w:rFonts w:ascii="Calibri" w:cs="Calibri" w:eastAsia="Calibri" w:hAnsi="Calibri"/>
          <w:b/>
          <w:bCs/>
          <w:i w:val="false"/>
          <w:iCs w:val="false"/>
          <w:color w:val="1C2B4A"/>
          <w:sz w:val="21"/>
          <w:szCs w:val="21"/>
        </w:rPr>
        <w:t xml:space="preserve">ELA (CC): </w:t>
      </w:r>
      <w:r>
        <w:rPr>
          <w:rFonts w:ascii="Calibri" w:cs="Calibri" w:eastAsia="Calibri" w:hAnsi="Calibri"/>
          <w:b w:val="false"/>
          <w:bCs w:val="false"/>
          <w:i w:val="false"/>
          <w:iCs w:val="false"/>
          <w:color w:val="2D3748"/>
          <w:sz w:val="21"/>
          <w:szCs w:val="21"/>
        </w:rPr>
        <w:t xml:space="preserve">400 schools · 43 neighborhoods · 0 missing values</w:t>
      </w:r>
    </w:p>
    <w:p>
      <w:pPr>
        <w:spacing w:after="160" w:before="0" w:line="400"/>
        <w:ind/>
        <w:jc w:val="left"/>
      </w:pPr>
      <w:r>
        <w:rPr>
          <w:rFonts w:ascii="Calibri" w:cs="Calibri" w:eastAsia="Calibri" w:hAnsi="Calibri"/>
          <w:b/>
          <w:bCs/>
          <w:i w:val="false"/>
          <w:iCs w:val="false"/>
          <w:color w:val="1C2B4A"/>
          <w:sz w:val="21"/>
          <w:szCs w:val="21"/>
        </w:rPr>
        <w:t xml:space="preserve">Living Environment: </w:t>
      </w:r>
      <w:r>
        <w:rPr>
          <w:rFonts w:ascii="Calibri" w:cs="Calibri" w:eastAsia="Calibri" w:hAnsi="Calibri"/>
          <w:b w:val="false"/>
          <w:bCs w:val="false"/>
          <w:i w:val="false"/>
          <w:iCs w:val="false"/>
          <w:color w:val="2D3748"/>
          <w:sz w:val="21"/>
          <w:szCs w:val="21"/>
        </w:rPr>
        <w:t xml:space="preserve">359 schools · 43 neighborhoods · 0 missing values</w:t>
      </w:r>
    </w:p>
    <w:p>
      <w:pPr>
        <w:spacing w:after="12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IN THE EQUATIONS</w:t>
      </w:r>
    </w:p>
    <w:p>
      <w:pPr>
        <w:spacing w:after="160" w:before="0" w:line="400"/>
        <w:ind/>
        <w:jc w:val="left"/>
      </w:pPr>
      <w:r>
        <w:rPr>
          <w:rFonts w:ascii="Calibri" w:cs="Calibri" w:eastAsia="Calibri" w:hAnsi="Calibri"/>
          <w:b w:val="false"/>
          <w:bCs w:val="false"/>
          <w:i w:val="false"/>
          <w:iCs w:val="false"/>
          <w:color w:val="2D3748"/>
          <w:sz w:val="21"/>
          <w:szCs w:val="21"/>
        </w:rPr>
        <w:t xml:space="preserve">Appears as Score_ij — the score for school i in neighborhood j. It sits on the left-hand side of all three model equations and is the quantity every predictor is trying to explain.</w:t>
      </w:r>
    </w:p>
    <w:p>
      <w:pPr>
        <w:spacing w:after="12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WHY THREE EXAMS ANALYZED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Algebra is instruction-dependent: once school demographics are controlled, the neighborhood adds nothing to explaining Algebra variation. ELA and Living Environment are context-dependent: the neighborhood's structural character independently predicts school performance even after school demographics are fully controlled. Running three separate models reveals this subject-specificity — which is the central empirical finding of the study.</w:t>
            </w:r>
          </w:p>
        </w:tc>
      </w:tr>
    </w:tbl>
    <w:p>
      <w:pPr>
        <w:spacing w:after="200" w:before="0"/>
      </w:pPr>
      <w:r>
        <w:rPr>
          <w:rFonts w:ascii="Calibri" w:cs="Calibri" w:eastAsia="Calibri" w:hAnsi="Calibri"/>
          <w:b w:val="false"/>
          <w:bCs w:val="false"/>
          <w:i w:val="false"/>
          <w:iCs w:val="false"/>
          <w:color w:val="2D3748"/>
          <w:sz w:val="2"/>
          <w:szCs w:val="2"/>
        </w:rPr>
        <w:t xml:space="preserve"/>
      </w:r>
    </w:p>
    <w:p>
      <w:pPr>
        <w:spacing w:after="6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880" w:val="clear"/>
            <w:tcMar>
              <w:top w:type="dxa" w:w="200"/>
              <w:left w:type="dxa" w:w="280"/>
              <w:bottom w:type="dxa" w:w="200"/>
              <w:right w:type="dxa" w:w="280"/>
            </w:tcMar>
          </w:tcPr>
          <w:p>
            <w:pPr>
              <w:spacing w:after="60" w:before="0"/>
            </w:pPr>
            <w:r>
              <w:rPr>
                <w:rFonts w:ascii="Calibri" w:cs="Calibri" w:eastAsia="Calibri" w:hAnsi="Calibri"/>
                <w:b/>
                <w:bCs/>
                <w:i w:val="false"/>
                <w:iCs w:val="false"/>
                <w:color w:val="93C5FD"/>
                <w:sz w:val="13"/>
                <w:szCs w:val="13"/>
              </w:rPr>
              <w:t xml:space="preserve">SECTION 2</w:t>
            </w:r>
          </w:p>
          <w:p>
            <w:pPr>
              <w:spacing w:after="40" w:before="0"/>
            </w:pPr>
            <w:r>
              <w:rPr>
                <w:rFonts w:ascii="Calibri" w:cs="Calibri" w:eastAsia="Calibri" w:hAnsi="Calibri"/>
                <w:b/>
                <w:bCs/>
                <w:i w:val="false"/>
                <w:iCs w:val="false"/>
                <w:color w:val="FFFFFF"/>
                <w:sz w:val="32"/>
                <w:szCs w:val="32"/>
              </w:rPr>
              <w:t xml:space="preserve">Level 1 Variables — What We Know About Each School</w:t>
            </w:r>
          </w:p>
          <w:p>
            <w:pPr>
              <w:spacing w:after="0" w:before="0"/>
            </w:pPr>
            <w:r>
              <w:rPr>
                <w:rFonts w:ascii="Calibri" w:cs="Calibri" w:eastAsia="Calibri" w:hAnsi="Calibri"/>
                <w:b w:val="false"/>
                <w:bCs w:val="false"/>
                <w:i w:val="false"/>
                <w:iCs w:val="false"/>
                <w:color w:val="93C5FD"/>
                <w:sz w:val="18"/>
                <w:szCs w:val="18"/>
              </w:rPr>
              <w:t xml:space="preserve">School demographics, class size, and school type — the controls in the model</w:t>
            </w:r>
          </w:p>
        </w:tc>
      </w:tr>
    </w:tbl>
    <w:p>
      <w:pPr>
        <w:spacing w:after="12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Level 1 variables describe individual schools. They are the controls — the factors the model accounts for before asking whether the neighborhood adds anything on top. All eight predictors enter the Level 1 equation together:</w:t>
      </w:r>
    </w:p>
    <w:p>
      <w:pPr>
        <w:spacing w:after="120" w:before="100" w:line="390"/>
        <w:ind/>
        <w:jc w:val="center"/>
      </w:pPr>
      <w:r>
        <w:rPr>
          <w:rFonts w:ascii="Calibri" w:cs="Calibri" w:eastAsia="Calibri" w:hAnsi="Calibri"/>
          <w:b/>
          <w:bCs/>
          <w:i/>
          <w:iCs/>
          <w:color w:val="0D3880"/>
          <w:sz w:val="19"/>
          <w:szCs w:val="19"/>
        </w:rPr>
        <w:t xml:space="preserve">Score_ij  =  β₀j  +  β₁(Black%)  +  β₂(Hispanic%)  +  β₃(Asian%)  +  β₄(ELL%)  +  β₅(EconDisadv%)  +  β₆(ClassSize)  +  β₇(CTE)  +  β₈(Transfer)  +  r_ij</w:t>
      </w:r>
    </w:p>
    <w:p>
      <w:pPr>
        <w:spacing w:after="160" w:before="0" w:line="400"/>
        <w:ind/>
        <w:jc w:val="left"/>
      </w:pPr>
      <w:r>
        <w:rPr>
          <w:rFonts w:ascii="Calibri" w:cs="Calibri" w:eastAsia="Calibri" w:hAnsi="Calibri"/>
          <w:b w:val="false"/>
          <w:bCs w:val="false"/>
          <w:i w:val="false"/>
          <w:iCs w:val="false"/>
          <w:color w:val="2D3748"/>
          <w:sz w:val="21"/>
          <w:szCs w:val="21"/>
        </w:rPr>
        <w:t xml:space="preserve">All continuous variables are standardized to z-scores before the model runs. This means each β coefficient represents the score-point change for a one standard deviation shift in that predictor, with all other predictors held constant. Binary variables (CTE, Transfer) are 0 or 1 and are not standardized.</w:t>
      </w:r>
    </w:p>
    <w:p>
      <w:pPr>
        <w:spacing w:after="16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3880"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2.1  Black/African American Enrollment  (Black_Percent, β₁)</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percentage of students at the school identified as Black or African American in the NYC DOE enrollment system. A school-level aggregate — one number per school reflecting the racial composition that results from decades of NYC housing policy, school zoning, and enrollment patterns.</w:t>
      </w:r>
    </w:p>
    <w:p>
      <w:pPr>
        <w:spacing w:after="10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32.5%</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27.0%</w:t>
            </w:r>
          </w:p>
        </w:tc>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0.0%</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100.0%</w:t>
            </w:r>
          </w:p>
        </w:tc>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27.7 pp</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w:t>
            </w:r>
          </w:p>
        </w:tc>
        <w:tc>
          <w:tcPr>
            <w:tcW w:type="dxa" w:w="1338"/>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97 schools (24%)</w:t>
            </w:r>
          </w:p>
        </w:tc>
      </w:tr>
      <w:tr>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Mean</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Median</w:t>
            </w:r>
          </w:p>
        </w:tc>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Min</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Max</w:t>
            </w:r>
          </w:p>
        </w:tc>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Std dev</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Missing</w:t>
            </w:r>
          </w:p>
        </w:tc>
        <w:tc>
          <w:tcPr>
            <w:tcW w:type="dxa" w:w="1338"/>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Majority &gt;50%</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NYSED Enrollment Database  —  ENROLL2024_20241105_.mdb</w:t>
            </w:r>
          </w:p>
          <w:p>
            <w:pPr>
              <w:spacing w:after="0" w:before="40" w:line="340"/>
            </w:pPr>
            <w:r>
              <w:rPr>
                <w:rFonts w:ascii="Calibri" w:cs="Calibri" w:eastAsia="Calibri" w:hAnsi="Calibri"/>
                <w:b w:val="false"/>
                <w:bCs w:val="false"/>
                <w:i w:val="false"/>
                <w:iCs w:val="false"/>
                <w:color w:val="2D3748"/>
                <w:sz w:val="18"/>
                <w:szCs w:val="18"/>
              </w:rPr>
              <w:t xml:space="preserve">Table:   Demographic Factors</w:t>
            </w:r>
          </w:p>
          <w:p>
            <w:pPr>
              <w:spacing w:after="0" w:before="40" w:line="340"/>
            </w:pPr>
            <w:r>
              <w:rPr>
                <w:rFonts w:ascii="Calibri" w:cs="Calibri" w:eastAsia="Calibri" w:hAnsi="Calibri"/>
                <w:b w:val="false"/>
                <w:bCs w:val="false"/>
                <w:i w:val="false"/>
                <w:iCs w:val="false"/>
                <w:color w:val="2D3748"/>
                <w:sz w:val="18"/>
                <w:szCs w:val="18"/>
              </w:rPr>
              <w:t xml:space="preserve">Field:   PER_BLACK</w:t>
            </w:r>
          </w:p>
          <w:p>
            <w:pPr>
              <w:spacing w:after="0" w:before="40" w:line="340"/>
            </w:pPr>
            <w:r>
              <w:rPr>
                <w:rFonts w:ascii="Calibri" w:cs="Calibri" w:eastAsia="Calibri" w:hAnsi="Calibri"/>
                <w:b w:val="false"/>
                <w:bCs w:val="false"/>
                <w:i w:val="false"/>
                <w:iCs w:val="false"/>
                <w:color w:val="2D3748"/>
                <w:sz w:val="18"/>
                <w:szCs w:val="18"/>
              </w:rPr>
              <w:t xml:space="preserve">Year:    2022-23 school year</w:t>
            </w:r>
          </w:p>
          <w:p>
            <w:pPr>
              <w:spacing w:after="0" w:before="40" w:line="340"/>
            </w:pPr>
            <w:r>
              <w:rPr>
                <w:rFonts w:ascii="Calibri" w:cs="Calibri" w:eastAsia="Calibri" w:hAnsi="Calibri"/>
                <w:b w:val="false"/>
                <w:bCs w:val="false"/>
                <w:i w:val="false"/>
                <w:iCs w:val="false"/>
                <w:color w:val="2D3748"/>
                <w:sz w:val="18"/>
                <w:szCs w:val="18"/>
              </w:rPr>
              <w:t xml:space="preserve">URL:     https://data.nysed.gov/downloads.php  →  2022-23  →  Enrollment Database</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HIGHEST-CONCENTRATION NEIGHBORHOODS</w:t>
      </w:r>
    </w:p>
    <w:p>
      <w:pPr>
        <w:spacing w:after="160" w:before="0" w:line="400"/>
        <w:ind/>
        <w:jc w:val="left"/>
      </w:pPr>
      <w:r>
        <w:rPr>
          <w:rFonts w:ascii="Calibri" w:cs="Calibri" w:eastAsia="Calibri" w:hAnsi="Calibri"/>
          <w:b w:val="false"/>
          <w:bCs w:val="false"/>
          <w:i w:val="false"/>
          <w:iCs w:val="false"/>
          <w:color w:val="2D3748"/>
          <w:sz w:val="21"/>
          <w:szCs w:val="21"/>
        </w:rPr>
        <w:t xml:space="preserve">Canarsie–Flatlands (85%) · Bedford-Stuyvesant–Crown Heights (84%) · East Flatbush–Flatbush (81%) · Southeast Queens (70%) · Central Harlem–Morningside Heights (66%)</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HOW IT ENTERS THE MODEL</w:t>
      </w:r>
    </w:p>
    <w:p>
      <w:pPr>
        <w:spacing w:after="160" w:before="0" w:line="400"/>
        <w:ind/>
        <w:jc w:val="left"/>
      </w:pPr>
      <w:r>
        <w:rPr>
          <w:rFonts w:ascii="Calibri" w:cs="Calibri" w:eastAsia="Calibri" w:hAnsi="Calibri"/>
          <w:b w:val="false"/>
          <w:bCs w:val="false"/>
          <w:i w:val="false"/>
          <w:iCs w:val="false"/>
          <w:color w:val="2D3748"/>
          <w:sz w:val="21"/>
          <w:szCs w:val="21"/>
        </w:rPr>
        <w:t xml:space="preserve">Z-scored before regression. One unit in the model = one standard deviation = 27.7 percentage points. Moving from the citywide mean (32.5%) to 60.2% is a one standard deviation shift.</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2520"/>
      </w:tblGrid>
      <w:tr>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FFFFFF"/>
                <w:sz w:val="17"/>
                <w:szCs w:val="17"/>
              </w:rPr>
              <w:t xml:space="preserve">Exam</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Coefficient (β)</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Std Error</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p-value</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Result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Algebra I (CC)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−1.543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0.808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.056</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92400E"/>
                <w:sz w:val="18"/>
                <w:szCs w:val="18"/>
              </w:rPr>
              <w:t xml:space="preserve">† Trending p&lt;.10</w:t>
            </w:r>
          </w:p>
        </w:tc>
      </w:tr>
      <w:tr>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ELA (CC)</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−2.126</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0.910</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.020</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Significant p&lt;.05</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Living Env.</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−1.876</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0.892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.035</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Significant p&lt;.05</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Negative across all three exams. Significant for ELA and Living Environment, trending for Algebra. This is a structural finding about where schools are located and what resources those locations have historically received — not a statement about Black students.
When EconDisadvantaged_Pct is added to the model, the coefficient drops from approximately −4.95 to −1.54 for Algebra. About half of the original association runs through concentrated poverty — the same structural sorting that concentrated Black students in certain schools also concentrated poverty there. The remaining coefficient reflects racial segregation operating independently of poverty.</w:t>
            </w:r>
          </w:p>
        </w:tc>
      </w:tr>
    </w:tbl>
    <w:p>
      <w:pPr>
        <w:spacing w:after="8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none" w:color="FFFFFF" w:sz="0"/>
              <w:bottom w:val="none" w:color="FFFFFF" w:sz="0"/>
              <w:right w:val="none" w:color="FFFFFF" w:sz="0"/>
            </w:tcBorders>
            <w:shd w:fill="FFF8E1" w:val="clear"/>
            <w:tcMar>
              <w:top w:type="dxa" w:w="100"/>
              <w:left w:type="dxa" w:w="200"/>
              <w:bottom w:type="dxa" w:w="100"/>
              <w:right w:type="dxa" w:w="200"/>
            </w:tcMar>
          </w:tcPr>
          <w:p>
            <w:pPr>
              <w:spacing w:after="0" w:before="0" w:line="360"/>
            </w:pPr>
            <w:r>
              <w:rPr>
                <w:rFonts w:ascii="Calibri" w:cs="Calibri" w:eastAsia="Calibri" w:hAnsi="Calibri"/>
                <w:b/>
                <w:bCs/>
                <w:i w:val="false"/>
                <w:iCs w:val="false"/>
                <w:color w:val="92400E"/>
                <w:sz w:val="18"/>
                <w:szCs w:val="18"/>
              </w:rPr>
              <w:t xml:space="preserve">Terminology: </w:t>
            </w:r>
            <w:r>
              <w:rPr>
                <w:rFonts w:ascii="Calibri" w:cs="Calibri" w:eastAsia="Calibri" w:hAnsi="Calibri"/>
                <w:b w:val="false"/>
                <w:bCs w:val="false"/>
                <w:i w:val="false"/>
                <w:iCs w:val="false"/>
                <w:color w:val="78350F"/>
                <w:sz w:val="18"/>
                <w:szCs w:val="18"/>
              </w:rPr>
              <w:t xml:space="preserve">These categories follow the official NYSED/NYC DOE enrollment classification. White% is excluded because race percentages sum to 100% — including all four creates a mathematical impossibility (see Section 2.4).</w:t>
            </w:r>
          </w:p>
        </w:tc>
      </w:tr>
    </w:tbl>
    <w:p>
      <w:pPr>
        <w:spacing w:after="160" w:before="0"/>
      </w:pPr>
      <w:r>
        <w:rPr>
          <w:rFonts w:ascii="Calibri" w:cs="Calibri" w:eastAsia="Calibri" w:hAnsi="Calibri"/>
          <w:b w:val="false"/>
          <w:bCs w:val="false"/>
          <w:i w:val="false"/>
          <w:iCs w:val="false"/>
          <w:color w:val="2D3748"/>
          <w:sz w:val="2"/>
          <w:szCs w:val="2"/>
        </w:rPr>
        <w:t xml:space="preserve"/>
      </w:r>
    </w:p>
    <w:p>
      <w:pPr>
        <w:pBdr>
          <w:bottom w:val="single" w:color="CBD5E1" w:sz="1" w:space="1"/>
        </w:pBd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3880"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2.2  Hispanic/Latino Enrollment  (Hispanic_Percent, β₂)</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percentage of students identified as Hispanic or Latino — the largest enrollment group in NYC public high schools on average. Includes students of Mexican, Puerto Rican, Dominican, Central American, South American, Cuban, and other Latin American backgrounds as classified by the NYC DOE.</w:t>
      </w:r>
    </w:p>
    <w:p>
      <w:pPr>
        <w:spacing w:after="10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52.8%</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57.0%</w:t>
            </w:r>
          </w:p>
        </w:tc>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0.0%</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100.0%</w:t>
            </w:r>
          </w:p>
        </w:tc>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27.9 pp</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w:t>
            </w:r>
          </w:p>
        </w:tc>
        <w:tc>
          <w:tcPr>
            <w:tcW w:type="dxa" w:w="1338"/>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236 schools (58%)</w:t>
            </w:r>
          </w:p>
        </w:tc>
      </w:tr>
      <w:tr>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Mean</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Median</w:t>
            </w:r>
          </w:p>
        </w:tc>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Min</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Max</w:t>
            </w:r>
          </w:p>
        </w:tc>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Std dev</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Missing</w:t>
            </w:r>
          </w:p>
        </w:tc>
        <w:tc>
          <w:tcPr>
            <w:tcW w:type="dxa" w:w="1338"/>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Majority &gt;50%</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NYSED Enrollment Database  —  ENROLL2024_20241105_.mdb</w:t>
            </w:r>
          </w:p>
          <w:p>
            <w:pPr>
              <w:spacing w:after="0" w:before="40" w:line="340"/>
            </w:pPr>
            <w:r>
              <w:rPr>
                <w:rFonts w:ascii="Calibri" w:cs="Calibri" w:eastAsia="Calibri" w:hAnsi="Calibri"/>
                <w:b w:val="false"/>
                <w:bCs w:val="false"/>
                <w:i w:val="false"/>
                <w:iCs w:val="false"/>
                <w:color w:val="2D3748"/>
                <w:sz w:val="18"/>
                <w:szCs w:val="18"/>
              </w:rPr>
              <w:t xml:space="preserve">Table:   Demographic Factors  ·  Field: PER_HISP  ·  Year: 2022-23</w:t>
            </w:r>
          </w:p>
          <w:p>
            <w:pPr>
              <w:spacing w:after="0" w:before="40" w:line="340"/>
            </w:pPr>
            <w:r>
              <w:rPr>
                <w:rFonts w:ascii="Calibri" w:cs="Calibri" w:eastAsia="Calibri" w:hAnsi="Calibri"/>
                <w:b w:val="false"/>
                <w:bCs w:val="false"/>
                <w:i w:val="false"/>
                <w:iCs w:val="false"/>
                <w:color w:val="2D3748"/>
                <w:sz w:val="18"/>
                <w:szCs w:val="18"/>
              </w:rPr>
              <w:t xml:space="preserve">URL:     https://data.nysed.gov/downloads.php  →  2022-23  →  Enrollment Database</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HIGHEST-CONCENTRATION NEIGHBORHOODS</w:t>
      </w:r>
    </w:p>
    <w:p>
      <w:pPr>
        <w:spacing w:after="160" w:before="0" w:line="400"/>
        <w:ind/>
        <w:jc w:val="left"/>
      </w:pPr>
      <w:r>
        <w:rPr>
          <w:rFonts w:ascii="Calibri" w:cs="Calibri" w:eastAsia="Calibri" w:hAnsi="Calibri"/>
          <w:b w:val="false"/>
          <w:bCs w:val="false"/>
          <w:i w:val="false"/>
          <w:iCs w:val="false"/>
          <w:color w:val="2D3748"/>
          <w:sz w:val="21"/>
          <w:szCs w:val="21"/>
        </w:rPr>
        <w:t xml:space="preserve">Washington Heights–Inwood (92%) · West Queens (84%) · Hunts Point–Mott Haven (83%) · Kingsbridge–Riverdale (78%) · High Bridge–Morrisania (75%)</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HOW IT ENTERS THE MODEL</w:t>
      </w:r>
    </w:p>
    <w:p>
      <w:pPr>
        <w:spacing w:after="160" w:before="0" w:line="400"/>
        <w:ind/>
        <w:jc w:val="left"/>
      </w:pPr>
      <w:r>
        <w:rPr>
          <w:rFonts w:ascii="Calibri" w:cs="Calibri" w:eastAsia="Calibri" w:hAnsi="Calibri"/>
          <w:b w:val="false"/>
          <w:bCs w:val="false"/>
          <w:i w:val="false"/>
          <w:iCs w:val="false"/>
          <w:color w:val="2D3748"/>
          <w:sz w:val="21"/>
          <w:szCs w:val="21"/>
        </w:rPr>
        <w:t xml:space="preserve">Z-scored before regression. One unit = one standard deviation = 27.9 percentage points.</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2520"/>
      </w:tblGrid>
      <w:tr>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FFFFFF"/>
                <w:sz w:val="17"/>
                <w:szCs w:val="17"/>
              </w:rPr>
              <w:t xml:space="preserve">Exam</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Coefficient (β)</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Std Error</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p-value</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Result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Algebra I (CC)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−1.030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0.812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.205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ns — not significant</w:t>
            </w:r>
          </w:p>
        </w:tc>
      </w:tr>
      <w:tr>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ELA (CC)</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−1.573</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0.920</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.087</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92400E"/>
                <w:sz w:val="18"/>
                <w:szCs w:val="18"/>
              </w:rPr>
              <w:t xml:space="preserve">† Trending p&lt;.10</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Living Env.</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−0.852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0.944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.366</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ns — not significant</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Negative and consistent in direction across all three exams, but does not reach conventional significance thresholds. Trending for ELA (p=.087) — the closest to significance. Not significant for Algebra (p=.205) or Living Environment (p=.366). Like Black_Percent, this reflects the structural sorting of the NYC school system — neighborhoods with the highest Hispanic/Latino enrollment also have the lowest NEQ scores and the highest poverty concentrations.
When EconDisadvantaged_Pct is added, this coefficient drops from approximately −4.74, showing roughly half the association runs through concentrated poverty. The weaker significance compared to Black_Percent likely reflects that the spatial sorting mechanism produces slightly different patterns across subjects after poverty is controlled.</w:t>
            </w:r>
          </w:p>
        </w:tc>
      </w:tr>
    </w:tbl>
    <w:p>
      <w:pPr>
        <w:spacing w:after="160" w:before="0"/>
      </w:pPr>
      <w:r>
        <w:rPr>
          <w:rFonts w:ascii="Calibri" w:cs="Calibri" w:eastAsia="Calibri" w:hAnsi="Calibri"/>
          <w:b w:val="false"/>
          <w:bCs w:val="false"/>
          <w:i w:val="false"/>
          <w:iCs w:val="false"/>
          <w:color w:val="2D3748"/>
          <w:sz w:val="2"/>
          <w:szCs w:val="2"/>
        </w:rPr>
        <w:t xml:space="preserve"/>
      </w:r>
    </w:p>
    <w:p>
      <w:pPr>
        <w:pBdr>
          <w:bottom w:val="single" w:color="CBD5E1" w:sz="1" w:space="1"/>
        </w:pBd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3880"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2.3  Asian/Pacific Islander Enrollment  (Asian_Percent, β₃)</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percentage of students identified as Asian or Pacific Islander. Includes students of Chinese, Korean, Indian, Filipino, Vietnamese, Japanese, Bangladeshi, Pakistani, and other Asian and Pacific Islander backgrounds. Highly skewed — more than half of NYC high schools have 0% Asian enrollment while a handful of specialized schools have 80–99%.</w:t>
      </w:r>
    </w:p>
    <w:p>
      <w:pPr>
        <w:spacing w:after="10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8.6%</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0.0%</w:t>
            </w:r>
          </w:p>
        </w:tc>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0.0%</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100.0%</w:t>
            </w:r>
          </w:p>
        </w:tc>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15.8 pp</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w:t>
            </w:r>
          </w:p>
        </w:tc>
        <w:tc>
          <w:tcPr>
            <w:tcW w:type="dxa" w:w="1338"/>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13 schools (3%)</w:t>
            </w:r>
          </w:p>
        </w:tc>
      </w:tr>
      <w:tr>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Mean</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Median</w:t>
            </w:r>
          </w:p>
        </w:tc>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Min</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Max</w:t>
            </w:r>
          </w:p>
        </w:tc>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Std dev</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Missing</w:t>
            </w:r>
          </w:p>
        </w:tc>
        <w:tc>
          <w:tcPr>
            <w:tcW w:type="dxa" w:w="1338"/>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Majority &gt;50%</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NYSED Enrollment Database  —  ENROLL2024_20241105_.mdb</w:t>
            </w:r>
          </w:p>
          <w:p>
            <w:pPr>
              <w:spacing w:after="0" w:before="40" w:line="340"/>
            </w:pPr>
            <w:r>
              <w:rPr>
                <w:rFonts w:ascii="Calibri" w:cs="Calibri" w:eastAsia="Calibri" w:hAnsi="Calibri"/>
                <w:b w:val="false"/>
                <w:bCs w:val="false"/>
                <w:i w:val="false"/>
                <w:iCs w:val="false"/>
                <w:color w:val="2D3748"/>
                <w:sz w:val="18"/>
                <w:szCs w:val="18"/>
              </w:rPr>
              <w:t xml:space="preserve">Table:   Demographic Factors  ·  Field: PER_ASIAN  ·  Year: 2022-23</w:t>
            </w:r>
          </w:p>
          <w:p>
            <w:pPr>
              <w:spacing w:after="0" w:before="40" w:line="340"/>
            </w:pPr>
            <w:r>
              <w:rPr>
                <w:rFonts w:ascii="Calibri" w:cs="Calibri" w:eastAsia="Calibri" w:hAnsi="Calibri"/>
                <w:b w:val="false"/>
                <w:bCs w:val="false"/>
                <w:i w:val="false"/>
                <w:iCs w:val="false"/>
                <w:color w:val="2D3748"/>
                <w:sz w:val="18"/>
                <w:szCs w:val="18"/>
              </w:rPr>
              <w:t xml:space="preserve">URL:     https://data.nysed.gov/downloads.php  →  2022-23  →  Enrollment Database</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HOW IT ENTERS THE MODEL</w:t>
      </w:r>
    </w:p>
    <w:p>
      <w:pPr>
        <w:spacing w:after="160" w:before="0" w:line="400"/>
        <w:ind/>
        <w:jc w:val="left"/>
      </w:pPr>
      <w:r>
        <w:rPr>
          <w:rFonts w:ascii="Calibri" w:cs="Calibri" w:eastAsia="Calibri" w:hAnsi="Calibri"/>
          <w:b w:val="false"/>
          <w:bCs w:val="false"/>
          <w:i w:val="false"/>
          <w:iCs w:val="false"/>
          <w:color w:val="2D3748"/>
          <w:sz w:val="21"/>
          <w:szCs w:val="21"/>
        </w:rPr>
        <w:t xml:space="preserve">Z-scored before regression. One unit = one standard deviation = 15.8 percentage points. Because the median is 0%, a one SD shift represents a large jump — effectively moving from a typical NYC high school toward specialized-school composition.</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2520"/>
      </w:tblGrid>
      <w:tr>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FFFFFF"/>
                <w:sz w:val="17"/>
                <w:szCs w:val="17"/>
              </w:rPr>
              <w:t xml:space="preserve">Exam</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Coefficient (β)</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Std Error</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p-value</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Result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Algebra I (CC)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+2.660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0.499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&lt;.001</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p&lt;.001</w:t>
            </w:r>
          </w:p>
        </w:tc>
      </w:tr>
      <w:tr>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ELA (CC)</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+1.572</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0.631</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.013</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p&lt;.05</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Living Env.</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+2.565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0.602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&lt;.001</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p&lt;.001</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Positive and highly significant across all three exams — the largest positive predictor in the model. Two overlapping factors drive this: (1) the concentration of Asian students at NYC's specialized high schools (Stuyvesant, Bronx Science, Brooklyn Tech), which have both majority Asian enrollment and extremely high scores; (2) neighborhood-level academic culture and expectations in NYC's Asian immigrant communities in Queens and Brooklyn.
Specialized school effect: removing the 8 specialized high schools from the model drops the Algebra coefficient from +2.660 to approximately +1.70. ELA and Living Environment are more stable. The specialized school admissions structure — a single competitive entrance exam — concentrates both Asian students and high academic performance in the same schools. This is a policy artifact, not a demographic truth.</w:t>
            </w:r>
          </w:p>
        </w:tc>
      </w:tr>
    </w:tbl>
    <w:p>
      <w:pPr>
        <w:spacing w:after="160" w:before="0"/>
      </w:pPr>
      <w:r>
        <w:rPr>
          <w:rFonts w:ascii="Calibri" w:cs="Calibri" w:eastAsia="Calibri" w:hAnsi="Calibri"/>
          <w:b w:val="false"/>
          <w:bCs w:val="false"/>
          <w:i w:val="false"/>
          <w:iCs w:val="false"/>
          <w:color w:val="2D3748"/>
          <w:sz w:val="2"/>
          <w:szCs w:val="2"/>
        </w:rPr>
        <w:t xml:space="preserve"/>
      </w:r>
    </w:p>
    <w:p>
      <w:pPr>
        <w:pBdr>
          <w:bottom w:val="single" w:color="CBD5E1" w:sz="1" w:space="1"/>
        </w:pBd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55A64"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2.4  White Enrollment  (White_Percent) — Reference Category, Not in Model</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percentage of students identified as White. The smallest of the four racial groups in NYC public high schools — the median is 0%, meaning more than half of NYC high schools have essentially no White students.</w:t>
      </w:r>
    </w:p>
    <w:p>
      <w:pPr>
        <w:spacing w:after="10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6.1%</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0.0%</w:t>
            </w:r>
          </w:p>
        </w:tc>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0.0%</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100.0%</w:t>
            </w:r>
          </w:p>
        </w:tc>
        <w:tc>
          <w:tcPr>
            <w:tcW w:type="dxa" w:w="1337"/>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12.5 pp</w:t>
            </w:r>
          </w:p>
        </w:tc>
        <w:tc>
          <w:tcPr>
            <w:tcW w:type="dxa" w:w="1337"/>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w:t>
            </w:r>
          </w:p>
        </w:tc>
        <w:tc>
          <w:tcPr>
            <w:tcW w:type="dxa" w:w="1338"/>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8 schools (2%)</w:t>
            </w:r>
          </w:p>
        </w:tc>
      </w:tr>
      <w:tr>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Mean</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Median</w:t>
            </w:r>
          </w:p>
        </w:tc>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Min</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Max</w:t>
            </w:r>
          </w:p>
        </w:tc>
        <w:tc>
          <w:tcPr>
            <w:tcW w:type="dxa" w:w="1337"/>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Std dev</w:t>
            </w:r>
          </w:p>
        </w:tc>
        <w:tc>
          <w:tcPr>
            <w:tcW w:type="dxa" w:w="1337"/>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Missing</w:t>
            </w:r>
          </w:p>
        </w:tc>
        <w:tc>
          <w:tcPr>
            <w:tcW w:type="dxa" w:w="1338"/>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Majority &gt;50%</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WHY IT IS EXCLUDED FROM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Black% + Hispanic% + Asian% + White% = 100% at every school, exactly. This means White% is fully determined once the other three are known — it carries no independent information. Including all four in the regression creates perfect multicollinearity: the math becomes unsolvable. The standard solution is to drop one group and treat it as the reference category.
Every racial coefficient is interpreted as: the effect compared to a school where that same enrollment share were White instead. β = −2.13 for Black_Percent means a school one standard deviation higher in Black enrollment scores 2.13 points lower than a school where that same share is White, with everything else held constant. This is a statement about which schools in which neighborhoods have historically enrolled each racial group — not about individual students.</w:t>
            </w:r>
          </w:p>
        </w:tc>
      </w:tr>
    </w:tbl>
    <w:p>
      <w:pPr>
        <w:spacing w:after="160" w:before="0"/>
      </w:pPr>
      <w:r>
        <w:rPr>
          <w:rFonts w:ascii="Calibri" w:cs="Calibri" w:eastAsia="Calibri" w:hAnsi="Calibri"/>
          <w:b w:val="false"/>
          <w:bCs w:val="false"/>
          <w:i w:val="false"/>
          <w:iCs w:val="false"/>
          <w:color w:val="2D3748"/>
          <w:sz w:val="2"/>
          <w:szCs w:val="2"/>
        </w:rPr>
        <w:t xml:space="preserve"/>
      </w:r>
    </w:p>
    <w:p>
      <w:pPr>
        <w:pBdr>
          <w:bottom w:val="single" w:color="CBD5E1" w:sz="1" w:space="1"/>
        </w:pBd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3880"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2.5  English Language Learner Enrollment  (ELL_Percent, β₄)</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percentage of students classified as English Language Learners — students still developing English proficiency who require language support services under NYSED guidelines. Includes recent immigrants and students who have not yet reached proficiency on the NYSESLAT English assessment.</w:t>
      </w:r>
    </w:p>
    <w:p>
      <w:pPr>
        <w:spacing w:after="10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13.8%</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9.0%</w:t>
            </w:r>
          </w:p>
        </w:tc>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0.0%</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97.0%</w:t>
            </w:r>
          </w:p>
        </w:tc>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17.3 pp</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w:t>
            </w:r>
          </w:p>
        </w:tc>
      </w:tr>
      <w:tr>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Mean</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Median</w:t>
            </w:r>
          </w:p>
        </w:tc>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Min</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Max</w:t>
            </w:r>
          </w:p>
        </w:tc>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Std dev</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Missing</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NYSED Enrollment Database  —  ENROLL2024_20241105_.mdb</w:t>
            </w:r>
          </w:p>
          <w:p>
            <w:pPr>
              <w:spacing w:after="0" w:before="40" w:line="340"/>
            </w:pPr>
            <w:r>
              <w:rPr>
                <w:rFonts w:ascii="Calibri" w:cs="Calibri" w:eastAsia="Calibri" w:hAnsi="Calibri"/>
                <w:b w:val="false"/>
                <w:bCs w:val="false"/>
                <w:i w:val="false"/>
                <w:iCs w:val="false"/>
                <w:color w:val="2D3748"/>
                <w:sz w:val="18"/>
                <w:szCs w:val="18"/>
              </w:rPr>
              <w:t xml:space="preserve">Table:   Demographic Factors  ·  Field: PER_ELL  ·  Year: 2022-23</w:t>
            </w:r>
          </w:p>
          <w:p>
            <w:pPr>
              <w:spacing w:after="0" w:before="40" w:line="340"/>
            </w:pPr>
            <w:r>
              <w:rPr>
                <w:rFonts w:ascii="Calibri" w:cs="Calibri" w:eastAsia="Calibri" w:hAnsi="Calibri"/>
                <w:b w:val="false"/>
                <w:bCs w:val="false"/>
                <w:i w:val="false"/>
                <w:iCs w:val="false"/>
                <w:color w:val="2D3748"/>
                <w:sz w:val="18"/>
                <w:szCs w:val="18"/>
              </w:rPr>
              <w:t xml:space="preserve">URL:     https://data.nysed.gov/downloads.php  →  2022-23  →  Enrollment Database</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CONTEXT</w:t>
      </w:r>
    </w:p>
    <w:p>
      <w:pPr>
        <w:spacing w:after="160" w:before="0" w:line="400"/>
        <w:ind/>
        <w:jc w:val="left"/>
      </w:pPr>
      <w:r>
        <w:rPr>
          <w:rFonts w:ascii="Calibri" w:cs="Calibri" w:eastAsia="Calibri" w:hAnsi="Calibri"/>
          <w:b w:val="false"/>
          <w:bCs w:val="false"/>
          <w:i w:val="false"/>
          <w:iCs w:val="false"/>
          <w:color w:val="2D3748"/>
          <w:sz w:val="21"/>
          <w:szCs w:val="21"/>
        </w:rPr>
        <w:t xml:space="preserve">Right-skewed distribution: most schools have low ELL%, but schools in Flushing, Washington Heights, and Sunset Park approach 100%. Top languages in the NYC high school ELL population: Spanish, Mandarin/Cantonese, Bengali, Arabic, Haitian Creole.</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HOW IT ENTERS THE MODEL</w:t>
      </w:r>
    </w:p>
    <w:p>
      <w:pPr>
        <w:spacing w:after="160" w:before="0" w:line="400"/>
        <w:ind/>
        <w:jc w:val="left"/>
      </w:pPr>
      <w:r>
        <w:rPr>
          <w:rFonts w:ascii="Calibri" w:cs="Calibri" w:eastAsia="Calibri" w:hAnsi="Calibri"/>
          <w:b w:val="false"/>
          <w:bCs w:val="false"/>
          <w:i w:val="false"/>
          <w:iCs w:val="false"/>
          <w:color w:val="2D3748"/>
          <w:sz w:val="21"/>
          <w:szCs w:val="21"/>
        </w:rPr>
        <w:t xml:space="preserve">Z-scored before regression. One unit = one standard deviation = 17.3 percentage points.</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2520"/>
      </w:tblGrid>
      <w:tr>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FFFFFF"/>
                <w:sz w:val="17"/>
                <w:szCs w:val="17"/>
              </w:rPr>
              <w:t xml:space="preserve">Exam</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Coefficient (β)</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Std Error</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p-value</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Result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Algebra I (CC)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−0.339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0.312</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.277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ns — not significant</w:t>
            </w:r>
          </w:p>
        </w:tc>
      </w:tr>
      <w:tr>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ELA (CC)</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−4.804</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0.336</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&lt;.001</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p&lt;.001 — dominant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Living Env.</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−1.044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0.323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.001</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p&lt;.01</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The most dramatically subject-specific predictor in the model. For Algebra: near zero and not significant. For ELA: −4.804, the single strongest predictor in the entire model, highly significant (p&lt;.001). For Living Environment: −1.044, significant (p=.001).
The ELA result makes direct sense: ELA is a language-based assessment. Measuring English reading, writing, and analytical skills in a school where one standard deviation more students are still learning English will produce lower averages — because the exam directly assesses the same skill that ELL classification captures.
The Algebra null confirms this is a language-assessment effect, not a general disadvantage effect. A student can learn algebra while still learning English. Mathematics does not depend on English proficiency the way a reading and writing exam does.</w:t>
            </w:r>
          </w:p>
        </w:tc>
      </w:tr>
    </w:tbl>
    <w:p>
      <w:pPr>
        <w:spacing w:after="160" w:before="0"/>
      </w:pPr>
      <w:r>
        <w:rPr>
          <w:rFonts w:ascii="Calibri" w:cs="Calibri" w:eastAsia="Calibri" w:hAnsi="Calibri"/>
          <w:b w:val="false"/>
          <w:bCs w:val="false"/>
          <w:i w:val="false"/>
          <w:iCs w:val="false"/>
          <w:color w:val="2D3748"/>
          <w:sz w:val="2"/>
          <w:szCs w:val="2"/>
        </w:rPr>
        <w:t xml:space="preserve"/>
      </w:r>
    </w:p>
    <w:p>
      <w:pPr>
        <w:pBdr>
          <w:bottom w:val="single" w:color="CBD5E1" w:sz="1" w:space="1"/>
        </w:pBd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3880"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2.6  Economic Disadvantage  (EconDisadvantaged_Pct, β₅)</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percentage of students classified as economically disadvantaged under NYSED criteria: eligible for free or reduced-price lunch, participating in public assistance programs, or classified as homeless or migrant. The closest available proxy to household poverty in NYSED administrative data.</w:t>
      </w:r>
    </w:p>
    <w:p>
      <w:pPr>
        <w:spacing w:after="10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81.8%</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84.0%</w:t>
            </w:r>
          </w:p>
        </w:tc>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19.0%</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100.0%</w:t>
            </w:r>
          </w:p>
        </w:tc>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12.1 pp</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w:t>
            </w:r>
          </w:p>
        </w:tc>
      </w:tr>
      <w:tr>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Mean</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Median</w:t>
            </w:r>
          </w:p>
        </w:tc>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Min</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Max</w:t>
            </w:r>
          </w:p>
        </w:tc>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Std dev</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Missing</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NYSED Enrollment Database  —  ENROLL2024_20241105_.mdb</w:t>
            </w:r>
          </w:p>
          <w:p>
            <w:pPr>
              <w:spacing w:after="0" w:before="40" w:line="340"/>
            </w:pPr>
            <w:r>
              <w:rPr>
                <w:rFonts w:ascii="Calibri" w:cs="Calibri" w:eastAsia="Calibri" w:hAnsi="Calibri"/>
                <w:b w:val="false"/>
                <w:bCs w:val="false"/>
                <w:i w:val="false"/>
                <w:iCs w:val="false"/>
                <w:color w:val="2D3748"/>
                <w:sz w:val="18"/>
                <w:szCs w:val="18"/>
              </w:rPr>
              <w:t xml:space="preserve">Table:   Demographic Factors  ·  Field: PER_ECDIS  ·  Year: 2022-23</w:t>
            </w:r>
          </w:p>
          <w:p>
            <w:pPr>
              <w:spacing w:after="0" w:before="40" w:line="340"/>
            </w:pPr>
            <w:r>
              <w:rPr>
                <w:rFonts w:ascii="Calibri" w:cs="Calibri" w:eastAsia="Calibri" w:hAnsi="Calibri"/>
                <w:b w:val="false"/>
                <w:bCs w:val="false"/>
                <w:i w:val="false"/>
                <w:iCs w:val="false"/>
                <w:color w:val="2D3748"/>
                <w:sz w:val="18"/>
                <w:szCs w:val="18"/>
              </w:rPr>
              <w:t xml:space="preserve">URL:     https://data.nysed.gov/downloads.php  →  2022-23  →  Enrollment Database</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CONTEXT</w:t>
      </w:r>
    </w:p>
    <w:p>
      <w:pPr>
        <w:spacing w:after="160" w:before="0" w:line="400"/>
        <w:ind/>
        <w:jc w:val="left"/>
      </w:pPr>
      <w:r>
        <w:rPr>
          <w:rFonts w:ascii="Calibri" w:cs="Calibri" w:eastAsia="Calibri" w:hAnsi="Calibri"/>
          <w:b w:val="false"/>
          <w:bCs w:val="false"/>
          <w:i w:val="false"/>
          <w:iCs w:val="false"/>
          <w:color w:val="2D3748"/>
          <w:sz w:val="21"/>
          <w:szCs w:val="21"/>
        </w:rPr>
        <w:t xml:space="preserve">The 81.8% mean reflects the economic reality of NYC public high schools — the vast majority of students in the public system qualify as economically disadvantaged. Even the lowest-poverty school in the sample has nearly 1 in 5 qualifying students (19%). PER_FREE_LUNCH was tested as an alternative but correlated at r=0.99 with this variable and was dropped.</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HOW IT ENTERS THE MODEL</w:t>
      </w:r>
    </w:p>
    <w:p>
      <w:pPr>
        <w:spacing w:after="160" w:before="0" w:line="400"/>
        <w:ind/>
        <w:jc w:val="left"/>
      </w:pPr>
      <w:r>
        <w:rPr>
          <w:rFonts w:ascii="Calibri" w:cs="Calibri" w:eastAsia="Calibri" w:hAnsi="Calibri"/>
          <w:b w:val="false"/>
          <w:bCs w:val="false"/>
          <w:i w:val="false"/>
          <w:iCs w:val="false"/>
          <w:color w:val="2D3748"/>
          <w:sz w:val="21"/>
          <w:szCs w:val="21"/>
        </w:rPr>
        <w:t xml:space="preserve">Z-scored before regression. One unit = one standard deviation = 12.1 percentage points. Moving from the citywide mean (81.8%) to 93.9% is a one SD shift.</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2520"/>
      </w:tblGrid>
      <w:tr>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FFFFFF"/>
                <w:sz w:val="17"/>
                <w:szCs w:val="17"/>
              </w:rPr>
              <w:t xml:space="preserve">Exam</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Coefficient (β)</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Std Error</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p-value</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Result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Algebra I (CC)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−1.751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0.388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&lt;.001</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p&lt;.001</w:t>
            </w:r>
          </w:p>
        </w:tc>
      </w:tr>
      <w:tr>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ELA (CC)</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−1.808</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0.429</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&lt;.001</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p&lt;.001</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Living Env.</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−2.327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0.417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&lt;.001</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p&lt;.001</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The most consistent predictor in the entire model — negative and highly significant (p&lt;.001) across all three exams without exception. Every 12.1 percentage-point increase in economic disadvantage predicts a 1.75–2.33 score-point drop depending on the exam.
This was the most important addition to the model relative to the March 2026 version, which omitted it. Without EconDisadvantaged_Pct, the Black_Percent and Hispanic_Percent coefficients were approximately −4.95 and −4.74 — inflated because they were absorbing poverty effects that actually belong to this variable. Adding poverty correctly separates race and poverty effects that had been conflated.</w:t>
            </w:r>
          </w:p>
        </w:tc>
      </w:tr>
    </w:tbl>
    <w:p>
      <w:pPr>
        <w:spacing w:after="160" w:before="0"/>
      </w:pPr>
      <w:r>
        <w:rPr>
          <w:rFonts w:ascii="Calibri" w:cs="Calibri" w:eastAsia="Calibri" w:hAnsi="Calibri"/>
          <w:b w:val="false"/>
          <w:bCs w:val="false"/>
          <w:i w:val="false"/>
          <w:iCs w:val="false"/>
          <w:color w:val="2D3748"/>
          <w:sz w:val="2"/>
          <w:szCs w:val="2"/>
        </w:rPr>
        <w:t xml:space="preserve"/>
      </w:r>
    </w:p>
    <w:p>
      <w:pPr>
        <w:pBdr>
          <w:bottom w:val="single" w:color="CBD5E1" w:sz="1" w:space="1"/>
        </w:pBd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55A64"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2.7  Class Size  (ClassSize, β₆)</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average number of students per class for that subject at the school in 2022-23. Subject-matched per Howard Everson's March 9 direction: Algebra class size for the Algebra model, Biology class size for Living Environment, and average class size for ELA.</w:t>
      </w:r>
    </w:p>
    <w:p>
      <w:pPr>
        <w:spacing w:after="10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19.9</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20.0</w:t>
            </w:r>
          </w:p>
        </w:tc>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1.0</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39.0</w:t>
            </w:r>
          </w:p>
        </w:tc>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5.7 students</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21 (Algebra)</w:t>
            </w:r>
          </w:p>
        </w:tc>
      </w:tr>
      <w:tr>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Mean</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Median</w:t>
            </w:r>
          </w:p>
        </w:tc>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Min</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Max</w:t>
            </w:r>
          </w:p>
        </w:tc>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Std dev</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Missing</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NYSED Student &amp; Educator Database  —  STUDED_2024.mdb</w:t>
            </w:r>
          </w:p>
          <w:p>
            <w:pPr>
              <w:spacing w:after="0" w:before="40" w:line="340"/>
            </w:pPr>
            <w:r>
              <w:rPr>
                <w:rFonts w:ascii="Calibri" w:cs="Calibri" w:eastAsia="Calibri" w:hAnsi="Calibri"/>
                <w:b w:val="false"/>
                <w:bCs w:val="false"/>
                <w:i w:val="false"/>
                <w:iCs w:val="false"/>
                <w:color w:val="2D3748"/>
                <w:sz w:val="18"/>
                <w:szCs w:val="18"/>
              </w:rPr>
              <w:t xml:space="preserve">Table:   Average Class Size</w:t>
            </w:r>
          </w:p>
          <w:p>
            <w:pPr>
              <w:spacing w:after="0" w:before="40" w:line="340"/>
            </w:pPr>
            <w:r>
              <w:rPr>
                <w:rFonts w:ascii="Calibri" w:cs="Calibri" w:eastAsia="Calibri" w:hAnsi="Calibri"/>
                <w:b w:val="false"/>
                <w:bCs w:val="false"/>
                <w:i w:val="false"/>
                <w:iCs w:val="false"/>
                <w:color w:val="2D3748"/>
                <w:sz w:val="18"/>
                <w:szCs w:val="18"/>
              </w:rPr>
              <w:t xml:space="preserve">Fields:  ALGEBRA (Algebra I) · BIOLOGY (Living Environment) · AVERAGE (ELA)</w:t>
            </w:r>
          </w:p>
          <w:p>
            <w:pPr>
              <w:spacing w:after="0" w:before="40" w:line="340"/>
            </w:pPr>
            <w:r>
              <w:rPr>
                <w:rFonts w:ascii="Calibri" w:cs="Calibri" w:eastAsia="Calibri" w:hAnsi="Calibri"/>
                <w:b w:val="false"/>
                <w:bCs w:val="false"/>
                <w:i w:val="false"/>
                <w:iCs w:val="false"/>
                <w:color w:val="2D3748"/>
                <w:sz w:val="18"/>
                <w:szCs w:val="18"/>
              </w:rPr>
              <w:t xml:space="preserve">Year:    2022-23 school year</w:t>
            </w:r>
          </w:p>
          <w:p>
            <w:pPr>
              <w:spacing w:after="0" w:before="40" w:line="340"/>
            </w:pPr>
            <w:r>
              <w:rPr>
                <w:rFonts w:ascii="Calibri" w:cs="Calibri" w:eastAsia="Calibri" w:hAnsi="Calibri"/>
                <w:b w:val="false"/>
                <w:bCs w:val="false"/>
                <w:i w:val="false"/>
                <w:iCs w:val="false"/>
                <w:color w:val="2D3748"/>
                <w:sz w:val="18"/>
                <w:szCs w:val="18"/>
              </w:rPr>
              <w:t xml:space="preserve">URL:     https://data.nysed.gov/downloads.php  →  2022-23  →  Student and Educator Database</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HOW IT ENTERS THE MODEL</w:t>
      </w:r>
    </w:p>
    <w:p>
      <w:pPr>
        <w:spacing w:after="160" w:before="0" w:line="400"/>
        <w:ind/>
        <w:jc w:val="left"/>
      </w:pPr>
      <w:r>
        <w:rPr>
          <w:rFonts w:ascii="Calibri" w:cs="Calibri" w:eastAsia="Calibri" w:hAnsi="Calibri"/>
          <w:b w:val="false"/>
          <w:bCs w:val="false"/>
          <w:i w:val="false"/>
          <w:iCs w:val="false"/>
          <w:color w:val="2D3748"/>
          <w:sz w:val="21"/>
          <w:szCs w:val="21"/>
        </w:rPr>
        <w:t xml:space="preserve">Z-scored before regression. One unit = one standard deviation = 5.7 students. The 21 missing Algebra class size records are dropped from the Algebra model sample.</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2520"/>
      </w:tblGrid>
      <w:tr>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FFFFFF"/>
                <w:sz w:val="17"/>
                <w:szCs w:val="17"/>
              </w:rPr>
              <w:t xml:space="preserve">Exam</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Coefficient (β)</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Std Error</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p-value</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Result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Algebra I (CC)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+0.743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0.291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.011</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p&lt;.05</w:t>
            </w:r>
          </w:p>
        </w:tc>
      </w:tr>
      <w:tr>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ELA (CC)</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+0.935</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0.329</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.004</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p&lt;.01</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Living Env.</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+1.017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0.330</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.002</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p&lt;.01</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Positive and significant across all three exams. Larger classes predict higher scores. This is a selection effect, not a teaching quality finding. Larger classes cluster at larger, better-resourced general education schools serving students at or near grade level. Smaller classes appear at transfer schools, specialized programs for high-need students, and remedial sections. The model captures school type and resource level through class size — not evidence that crowding helps students. Class size policy should not change based on this coefficient.</w:t>
            </w:r>
          </w:p>
        </w:tc>
      </w:tr>
    </w:tbl>
    <w:p>
      <w:pPr>
        <w:spacing w:after="160" w:before="0"/>
      </w:pPr>
      <w:r>
        <w:rPr>
          <w:rFonts w:ascii="Calibri" w:cs="Calibri" w:eastAsia="Calibri" w:hAnsi="Calibri"/>
          <w:b w:val="false"/>
          <w:bCs w:val="false"/>
          <w:i w:val="false"/>
          <w:iCs w:val="false"/>
          <w:color w:val="2D3748"/>
          <w:sz w:val="2"/>
          <w:szCs w:val="2"/>
        </w:rPr>
        <w:t xml:space="preserve"/>
      </w:r>
    </w:p>
    <w:p>
      <w:pPr>
        <w:pBdr>
          <w:bottom w:val="single" w:color="CBD5E1" w:sz="1" w:space="1"/>
        </w:pBd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55A64"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2.8  School Type — CTE and Transfer Dummies  (β₇ and β₈)</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Binary variables (0 or 1) indicating whether the school is a Career Technical Education school or a Transfer school. General Academic schools are the reference category — the baseline that everything else is compared to.</w:t>
      </w:r>
    </w:p>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bCs/>
          <w:i w:val="false"/>
          <w:iCs w:val="false"/>
          <w:color w:val="1C2B4A"/>
          <w:sz w:val="21"/>
          <w:szCs w:val="21"/>
        </w:rPr>
        <w:t xml:space="preserve">General Academic (reference): </w:t>
      </w:r>
      <w:r>
        <w:rPr>
          <w:rFonts w:ascii="Calibri" w:cs="Calibri" w:eastAsia="Calibri" w:hAnsi="Calibri"/>
          <w:b w:val="false"/>
          <w:bCs w:val="false"/>
          <w:i w:val="false"/>
          <w:iCs w:val="false"/>
          <w:color w:val="2D3748"/>
          <w:sz w:val="21"/>
          <w:szCs w:val="21"/>
        </w:rPr>
        <w:t xml:space="preserve">323 schools (79%)  —  Standard NYC high school, academic curriculum, Regents preparation.</w:t>
      </w:r>
    </w:p>
    <w:p>
      <w:pPr>
        <w:spacing w:after="160" w:before="0" w:line="400"/>
        <w:ind/>
        <w:jc w:val="left"/>
      </w:pPr>
      <w:r>
        <w:rPr>
          <w:rFonts w:ascii="Calibri" w:cs="Calibri" w:eastAsia="Calibri" w:hAnsi="Calibri"/>
          <w:b/>
          <w:bCs/>
          <w:i w:val="false"/>
          <w:iCs w:val="false"/>
          <w:color w:val="1C2B4A"/>
          <w:sz w:val="21"/>
          <w:szCs w:val="21"/>
        </w:rPr>
        <w:t xml:space="preserve">Career Technical (CTE = 1): </w:t>
      </w:r>
      <w:r>
        <w:rPr>
          <w:rFonts w:ascii="Calibri" w:cs="Calibri" w:eastAsia="Calibri" w:hAnsi="Calibri"/>
          <w:b w:val="false"/>
          <w:bCs w:val="false"/>
          <w:i w:val="false"/>
          <w:iCs w:val="false"/>
          <w:color w:val="2D3748"/>
          <w:sz w:val="21"/>
          <w:szCs w:val="21"/>
        </w:rPr>
        <w:t xml:space="preserve">45 schools (11%)  —  Vocational training integrated with academic coursework.</w:t>
      </w:r>
    </w:p>
    <w:p>
      <w:pPr>
        <w:spacing w:after="160" w:before="0" w:line="400"/>
        <w:ind/>
        <w:jc w:val="left"/>
      </w:pPr>
      <w:r>
        <w:rPr>
          <w:rFonts w:ascii="Calibri" w:cs="Calibri" w:eastAsia="Calibri" w:hAnsi="Calibri"/>
          <w:b/>
          <w:bCs/>
          <w:i w:val="false"/>
          <w:iCs w:val="false"/>
          <w:color w:val="1C2B4A"/>
          <w:sz w:val="21"/>
          <w:szCs w:val="21"/>
        </w:rPr>
        <w:t xml:space="preserve">Transfer (Transfer = 1): </w:t>
      </w:r>
      <w:r>
        <w:rPr>
          <w:rFonts w:ascii="Calibri" w:cs="Calibri" w:eastAsia="Calibri" w:hAnsi="Calibri"/>
          <w:b w:val="false"/>
          <w:bCs w:val="false"/>
          <w:i w:val="false"/>
          <w:iCs w:val="false"/>
          <w:color w:val="2D3748"/>
          <w:sz w:val="21"/>
          <w:szCs w:val="21"/>
        </w:rPr>
        <w:t xml:space="preserve">41 schools (10%)  —  For students who have fallen behind or dropped out of traditional schools.</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SRC2024_Group5.mdb / NYC DOE school records  ·  Field: School Type  ·  Year: 2022-23</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CTE 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2520"/>
      </w:tblGrid>
      <w:tr>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FFFFFF"/>
                <w:sz w:val="17"/>
                <w:szCs w:val="17"/>
              </w:rPr>
              <w:t xml:space="preserve">Exam</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Coefficient (β)</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Std Error</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p-value</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Result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Algebra I (CC)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+0.388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0.887</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.661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ns</w:t>
            </w:r>
          </w:p>
        </w:tc>
      </w:tr>
      <w:tr>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ELA (CC)</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+0.021</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0.974</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.983</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ns</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Living Env.</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+0.903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0.944</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.339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ns</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TRANSFER 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2520"/>
      </w:tblGrid>
      <w:tr>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FFFFFF"/>
                <w:sz w:val="17"/>
                <w:szCs w:val="17"/>
              </w:rPr>
              <w:t xml:space="preserve">Exam</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Coefficient (β)</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Std Error</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p-value</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Result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Algebra I (CC)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−0.043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1.101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.969</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ns</w:t>
            </w:r>
          </w:p>
        </w:tc>
      </w:tr>
      <w:tr>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ELA (CC)</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991B1B"/>
                <w:sz w:val="18"/>
                <w:szCs w:val="18"/>
              </w:rPr>
              <w:t xml:space="preserve">−1.210</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1.082</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.263</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ns (trending)</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Living Env.</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+0.205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1.193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.863</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ns</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CTE: Not significant in any exam. CTE schools do not score differently from General Academic schools after other characteristics are controlled. The positive Living Environment trend (β=+0.903) may reflect biology-adjacent vocational programs but does not reach significance.
Transfer: Not significant at conventional thresholds. The ELA coefficient (β=−1.210, p=.263) is the largest and most consistent — Transfer schools serve students needing additional academic support, so lower ELA scores reflect the population served, not school quality. The small n (41 schools) likely limits the power to detect this effect statistically.</w:t>
            </w:r>
          </w:p>
        </w:tc>
      </w:tr>
    </w:tbl>
    <w:p>
      <w:pPr>
        <w:spacing w:after="200" w:before="0"/>
      </w:pPr>
      <w:r>
        <w:rPr>
          <w:rFonts w:ascii="Calibri" w:cs="Calibri" w:eastAsia="Calibri" w:hAnsi="Calibri"/>
          <w:b w:val="false"/>
          <w:bCs w:val="false"/>
          <w:i w:val="false"/>
          <w:iCs w:val="false"/>
          <w:color w:val="2D3748"/>
          <w:sz w:val="2"/>
          <w:szCs w:val="2"/>
        </w:rPr>
        <w:t xml:space="preserve"/>
      </w:r>
    </w:p>
    <w:p>
      <w:pPr>
        <w:spacing w:after="6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880" w:val="clear"/>
            <w:tcMar>
              <w:top w:type="dxa" w:w="200"/>
              <w:left w:type="dxa" w:w="280"/>
              <w:bottom w:type="dxa" w:w="200"/>
              <w:right w:type="dxa" w:w="280"/>
            </w:tcMar>
          </w:tcPr>
          <w:p>
            <w:pPr>
              <w:spacing w:after="60" w:before="0"/>
            </w:pPr>
            <w:r>
              <w:rPr>
                <w:rFonts w:ascii="Calibri" w:cs="Calibri" w:eastAsia="Calibri" w:hAnsi="Calibri"/>
                <w:b/>
                <w:bCs/>
                <w:i w:val="false"/>
                <w:iCs w:val="false"/>
                <w:color w:val="93C5FD"/>
                <w:sz w:val="13"/>
                <w:szCs w:val="13"/>
              </w:rPr>
              <w:t xml:space="preserve">SECTION 3</w:t>
            </w:r>
          </w:p>
          <w:p>
            <w:pPr>
              <w:spacing w:after="40" w:before="0"/>
            </w:pPr>
            <w:r>
              <w:rPr>
                <w:rFonts w:ascii="Calibri" w:cs="Calibri" w:eastAsia="Calibri" w:hAnsi="Calibri"/>
                <w:b/>
                <w:bCs/>
                <w:i w:val="false"/>
                <w:iCs w:val="false"/>
                <w:color w:val="FFFFFF"/>
                <w:sz w:val="32"/>
                <w:szCs w:val="32"/>
              </w:rPr>
              <w:t xml:space="preserve">The Level 2 Variable — NEQ Index</w:t>
            </w:r>
          </w:p>
          <w:p>
            <w:pPr>
              <w:spacing w:after="0" w:before="0"/>
            </w:pPr>
            <w:r>
              <w:rPr>
                <w:rFonts w:ascii="Calibri" w:cs="Calibri" w:eastAsia="Calibri" w:hAnsi="Calibri"/>
                <w:b w:val="false"/>
                <w:bCs w:val="false"/>
                <w:i w:val="false"/>
                <w:iCs w:val="false"/>
                <w:color w:val="93C5FD"/>
                <w:sz w:val="18"/>
                <w:szCs w:val="18"/>
              </w:rPr>
              <w:t xml:space="preserve">The neighborhood structural predictor: does zoning independently predict school performance?</w:t>
            </w:r>
          </w:p>
        </w:tc>
      </w:tr>
    </w:tbl>
    <w:p>
      <w:pPr>
        <w:spacing w:after="12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NEQ (Neighborhood Educational Quality) index is the single Level 2 predictor. It enters the Level 2 equation that predicts the neighborhood-level baseline score β₀j — the average school performance in each neighborhood after school-level controls. It is built entirely from NYC planning data with no Regents score data in its construction.</w:t>
      </w:r>
    </w:p>
    <w:p>
      <w:pPr>
        <w:spacing w:after="100" w:before="0"/>
      </w:pPr>
      <w:r>
        <w:rPr>
          <w:rFonts w:ascii="Calibri" w:cs="Calibri" w:eastAsia="Calibri" w:hAnsi="Calibri"/>
          <w:b w:val="false"/>
          <w:bCs w:val="false"/>
          <w:i w:val="false"/>
          <w:iCs w:val="false"/>
          <w:color w:val="2D3748"/>
          <w:sz w:val="2"/>
          <w:szCs w:val="2"/>
        </w:rPr>
        <w:t xml:space="preserve"/>
      </w:r>
    </w:p>
    <w:p>
      <w:pPr>
        <w:spacing w:after="80" w:before="0" w:line="390"/>
        <w:ind/>
        <w:jc w:val="left"/>
      </w:pPr>
      <w:r>
        <w:rPr>
          <w:rFonts w:ascii="Calibri" w:cs="Calibri" w:eastAsia="Calibri" w:hAnsi="Calibri"/>
          <w:b/>
          <w:bCs/>
          <w:i w:val="false"/>
          <w:iCs w:val="false"/>
          <w:color w:val="0D3880"/>
          <w:sz w:val="20"/>
          <w:szCs w:val="20"/>
        </w:rPr>
        <w:t xml:space="preserve">Level 2 equation:  </w:t>
      </w:r>
      <w:r>
        <w:rPr>
          <w:rFonts w:ascii="Calibri" w:cs="Calibri" w:eastAsia="Calibri" w:hAnsi="Calibri"/>
          <w:b/>
          <w:bCs/>
          <w:i/>
          <w:iCs/>
          <w:color w:val="0D3880"/>
          <w:sz w:val="20"/>
          <w:szCs w:val="20"/>
        </w:rPr>
        <w:t xml:space="preserve">β₀j  =  γ₀₀  +  γ₀₁(NEQ_j)  +  U₀j</w:t>
      </w:r>
    </w:p>
    <w:p>
      <w:pPr>
        <w:spacing w:after="160" w:before="0" w:line="400"/>
        <w:ind/>
        <w:jc w:val="left"/>
      </w:pPr>
      <w:r>
        <w:rPr>
          <w:rFonts w:ascii="Calibri" w:cs="Calibri" w:eastAsia="Calibri" w:hAnsi="Calibri"/>
          <w:b/>
          <w:bCs/>
          <w:i/>
          <w:iCs/>
          <w:color w:val="0D3880"/>
          <w:sz w:val="21"/>
          <w:szCs w:val="21"/>
        </w:rPr>
        <w:t xml:space="preserve">γ₀₁</w:t>
      </w:r>
      <w:r>
        <w:rPr>
          <w:rFonts w:ascii="Calibri" w:cs="Calibri" w:eastAsia="Calibri" w:hAnsi="Calibri"/>
          <w:b w:val="false"/>
          <w:bCs w:val="false"/>
          <w:i w:val="false"/>
          <w:iCs w:val="false"/>
          <w:color w:val="2D3748"/>
          <w:sz w:val="21"/>
          <w:szCs w:val="21"/>
        </w:rPr>
        <w:t xml:space="preserve"> is the key coefficient. It answers: after controlling for everything about the schools in a neighborhood, does the neighborhood's zoning structure independently predict school baseline performance?</w:t>
      </w:r>
    </w:p>
    <w:p>
      <w:pPr>
        <w:spacing w:after="16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56C4"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3.1  NEQ Score — The Composite Index  (NEQ_score, γ₀₁)</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A composite index measuring the structural opportunity character of a neighborhood — how its zoning and land use mix reflects planning decisions that shaped commercial density, residential character, and resource access. Higher scores mean more mixed-use, more commercially active, more structurally diverse.</w:t>
      </w:r>
    </w:p>
    <w:p>
      <w:pPr>
        <w:spacing w:after="10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 — 10</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2.08</w:t>
            </w:r>
          </w:p>
        </w:tc>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1.99</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1.00</w:t>
            </w:r>
          </w:p>
        </w:tc>
        <w:tc>
          <w:tcPr>
            <w:tcW w:type="dxa" w:w="156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10.00</w:t>
            </w:r>
          </w:p>
        </w:tc>
        <w:tc>
          <w:tcPr>
            <w:tcW w:type="dxa" w:w="156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43, no missing</w:t>
            </w:r>
          </w:p>
        </w:tc>
      </w:tr>
      <w:tr>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Scale</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Mean</w:t>
            </w:r>
          </w:p>
        </w:tc>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Std dev</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Min</w:t>
            </w:r>
          </w:p>
        </w:tc>
        <w:tc>
          <w:tcPr>
            <w:tcW w:type="dxa" w:w="156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Max</w:t>
            </w:r>
          </w:p>
        </w:tc>
        <w:tc>
          <w:tcPr>
            <w:tcW w:type="dxa" w:w="156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Neighborhoods</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CONSTRUCTION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1.   Calculate mean Commercial FAR across all commercial lots per neighborhood</w:t>
            </w:r>
          </w:p>
          <w:p>
            <w:pPr>
              <w:spacing w:after="0" w:before="40" w:line="340"/>
            </w:pPr>
            <w:r>
              <w:rPr>
                <w:rFonts w:ascii="Calibri" w:cs="Calibri" w:eastAsia="Calibri" w:hAnsi="Calibri"/>
                <w:b w:val="false"/>
                <w:bCs w:val="false"/>
                <w:i w:val="false"/>
                <w:iCs w:val="false"/>
                <w:color w:val="2D3748"/>
                <w:sz w:val="18"/>
                <w:szCs w:val="18"/>
              </w:rPr>
              <w:t xml:space="preserve">2.   Calculate Residential Zone % (proportion of lots zoned residential) per neighborhood</w:t>
            </w:r>
          </w:p>
          <w:p>
            <w:pPr>
              <w:spacing w:after="0" w:before="40" w:line="340"/>
            </w:pPr>
            <w:r>
              <w:rPr>
                <w:rFonts w:ascii="Calibri" w:cs="Calibri" w:eastAsia="Calibri" w:hAnsi="Calibri"/>
                <w:b w:val="false"/>
                <w:bCs w:val="false"/>
                <w:i w:val="false"/>
                <w:iCs w:val="false"/>
                <w:color w:val="2D3748"/>
                <w:sz w:val="18"/>
                <w:szCs w:val="18"/>
              </w:rPr>
              <w:t xml:space="preserve">3.   Z-score both components independently (each: mean=0, std=1)</w:t>
            </w:r>
          </w:p>
          <w:p>
            <w:pPr>
              <w:spacing w:after="0" w:before="40" w:line="340"/>
            </w:pPr>
            <w:r>
              <w:rPr>
                <w:rFonts w:ascii="Calibri" w:cs="Calibri" w:eastAsia="Calibri" w:hAnsi="Calibri"/>
                <w:b w:val="false"/>
                <w:bCs w:val="false"/>
                <w:i w:val="false"/>
                <w:iCs w:val="false"/>
                <w:color w:val="2D3748"/>
                <w:sz w:val="18"/>
                <w:szCs w:val="18"/>
              </w:rPr>
              <w:t xml:space="preserve">4.   Flip Residential Zone %: multiply by −1  (lower residential % = more mixed-use = higher score)</w:t>
            </w:r>
          </w:p>
          <w:p>
            <w:pPr>
              <w:spacing w:after="0" w:before="40" w:line="340"/>
            </w:pPr>
            <w:r>
              <w:rPr>
                <w:rFonts w:ascii="Calibri" w:cs="Calibri" w:eastAsia="Calibri" w:hAnsi="Calibri"/>
                <w:b w:val="false"/>
                <w:bCs w:val="false"/>
                <w:i w:val="false"/>
                <w:iCs w:val="false"/>
                <w:color w:val="2D3748"/>
                <w:sz w:val="18"/>
                <w:szCs w:val="18"/>
              </w:rPr>
              <w:t xml:space="preserve">5.   Sum the two z-scored components</w:t>
            </w:r>
          </w:p>
          <w:p>
            <w:pPr>
              <w:spacing w:after="0" w:before="40" w:line="340"/>
            </w:pPr>
            <w:r>
              <w:rPr>
                <w:rFonts w:ascii="Calibri" w:cs="Calibri" w:eastAsia="Calibri" w:hAnsi="Calibri"/>
                <w:b w:val="false"/>
                <w:bCs w:val="false"/>
                <w:i w:val="false"/>
                <w:iCs w:val="false"/>
                <w:color w:val="2D3748"/>
                <w:sz w:val="18"/>
                <w:szCs w:val="18"/>
              </w:rPr>
              <w:t xml:space="preserve">6.   Rescale to 1–10:    NEQ = 1 + 9 × (raw − min) / (max − min)</w:t>
            </w:r>
          </w:p>
          <w:p>
            <w:pPr>
              <w:spacing w:after="0" w:before="40" w:line="340"/>
            </w:pPr>
            <w:r>
              <w:rPr>
                <w:rFonts w:ascii="Calibri" w:cs="Calibri" w:eastAsia="Calibri" w:hAnsi="Calibri"/>
                <w:b w:val="false"/>
                <w:bCs w:val="false"/>
                <w:i w:val="false"/>
                <w:iCs w:val="false"/>
                <w:color w:val="2D3748"/>
                <w:sz w:val="18"/>
                <w:szCs w:val="18"/>
              </w:rPr>
              <w:t xml:space="preserve">7.   Z-score the 1–10 score before entering Level 2 regression (so γ₀₁ is per standard deviation)</w:t>
            </w:r>
          </w:p>
          <w:p>
            <w:pPr>
              <w:spacing w:after="0" w:before="40" w:line="340"/>
            </w:pPr>
            <w:r>
              <w:rPr>
                <w:rFonts w:ascii="Calibri" w:cs="Calibri" w:eastAsia="Calibri" w:hAnsi="Calibri"/>
                <w:b w:val="false"/>
                <w:bCs w:val="false"/>
                <w:i w:val="false"/>
                <w:iCs w:val="false"/>
                <w:color w:val="2D3748"/>
                <w:sz w:val="18"/>
                <w:szCs w:val="18"/>
              </w:rPr>
              <w:t xml:space="preserve"/>
            </w:r>
          </w:p>
          <w:p>
            <w:pPr>
              <w:spacing w:after="0" w:before="40" w:line="340"/>
            </w:pPr>
            <w:r>
              <w:rPr>
                <w:rFonts w:ascii="Calibri" w:cs="Calibri" w:eastAsia="Calibri" w:hAnsi="Calibri"/>
                <w:b w:val="false"/>
                <w:bCs w:val="false"/>
                <w:i w:val="false"/>
                <w:iCs w:val="false"/>
                <w:color w:val="2D3748"/>
                <w:sz w:val="18"/>
                <w:szCs w:val="18"/>
              </w:rPr>
              <w:t xml:space="preserve">Method: Bryk, Lee &amp; Holland (1993) raw-score construction — specified by Dr. Everson on March 9.</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NYC PLUTO (Primary Land Use Tax Lot Output)  —  pluto_25v2.csv</w:t>
            </w:r>
          </w:p>
          <w:p>
            <w:pPr>
              <w:spacing w:after="0" w:before="40" w:line="340"/>
            </w:pPr>
            <w:r>
              <w:rPr>
                <w:rFonts w:ascii="Calibri" w:cs="Calibri" w:eastAsia="Calibri" w:hAnsi="Calibri"/>
                <w:b w:val="false"/>
                <w:bCs w:val="false"/>
                <w:i w:val="false"/>
                <w:iCs w:val="false"/>
                <w:color w:val="2D3748"/>
                <w:sz w:val="18"/>
                <w:szCs w:val="18"/>
              </w:rPr>
              <w:t xml:space="preserve">Records: 857,736 lots aggregated to 43 neighborhood values</w:t>
            </w:r>
          </w:p>
          <w:p>
            <w:pPr>
              <w:spacing w:after="0" w:before="40" w:line="340"/>
            </w:pPr>
            <w:r>
              <w:rPr>
                <w:rFonts w:ascii="Calibri" w:cs="Calibri" w:eastAsia="Calibri" w:hAnsi="Calibri"/>
                <w:b w:val="false"/>
                <w:bCs w:val="false"/>
                <w:i w:val="false"/>
                <w:iCs w:val="false"/>
                <w:color w:val="2D3748"/>
                <w:sz w:val="18"/>
                <w:szCs w:val="18"/>
              </w:rPr>
              <w:t xml:space="preserve">Version: 2025 release (v25.2)</w:t>
            </w:r>
          </w:p>
          <w:p>
            <w:pPr>
              <w:spacing w:after="0" w:before="40" w:line="340"/>
            </w:pPr>
            <w:r>
              <w:rPr>
                <w:rFonts w:ascii="Calibri" w:cs="Calibri" w:eastAsia="Calibri" w:hAnsi="Calibri"/>
                <w:b w:val="false"/>
                <w:bCs w:val="false"/>
                <w:i w:val="false"/>
                <w:iCs w:val="false"/>
                <w:color w:val="2D3748"/>
                <w:sz w:val="18"/>
                <w:szCs w:val="18"/>
              </w:rPr>
              <w:t xml:space="preserve">URL:     https://www.nyc.gov/site/planning/data-maps/open-data/dwn-pluto-mappluto.page</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HIGHEST AND LOWEST NEQ NEIGHBORHOODS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E8F5E9" w:val="clear"/>
            <w:tcMar>
              <w:top w:type="dxa" w:w="100"/>
              <w:left w:type="dxa" w:w="160"/>
              <w:bottom w:type="dxa" w:w="40"/>
              <w:right w:type="dxa" w:w="80"/>
            </w:tcMar>
          </w:tcPr>
          <w:p>
            <w:pPr>
              <w:spacing w:after="160" w:before="0" w:line="390"/>
              <w:ind/>
              <w:jc w:val="left"/>
            </w:pPr>
            <w:r>
              <w:rPr>
                <w:rFonts w:ascii="Calibri" w:cs="Calibri" w:eastAsia="Calibri" w:hAnsi="Calibri"/>
                <w:b/>
                <w:bCs/>
                <w:i w:val="false"/>
                <w:iCs w:val="false"/>
                <w:color w:val="166534"/>
                <w:sz w:val="17"/>
                <w:szCs w:val="17"/>
              </w:rPr>
              <w:t xml:space="preserve">HIGHEST  (most mixed-use)</w:t>
            </w:r>
          </w:p>
        </w:tc>
        <w:tc>
          <w:tcPr>
            <w:tcBorders>
              <w:top w:val="none" w:color="FFFFFF" w:sz="0"/>
              <w:left w:val="none" w:color="FFFFFF" w:sz="0"/>
              <w:bottom w:val="none" w:color="FFFFFF" w:sz="0"/>
              <w:right w:val="none" w:color="FFFFFF" w:sz="0"/>
            </w:tcBorders>
            <w:shd w:fill="FEF2F2" w:val="clear"/>
            <w:tcMar>
              <w:top w:type="dxa" w:w="100"/>
              <w:left w:type="dxa" w:w="80"/>
              <w:bottom w:type="dxa" w:w="40"/>
              <w:right w:type="dxa" w:w="160"/>
            </w:tcMar>
          </w:tcPr>
          <w:p>
            <w:pPr>
              <w:spacing w:after="160" w:before="0" w:line="390"/>
              <w:ind/>
              <w:jc w:val="left"/>
            </w:pPr>
            <w:r>
              <w:rPr>
                <w:rFonts w:ascii="Calibri" w:cs="Calibri" w:eastAsia="Calibri" w:hAnsi="Calibri"/>
                <w:b/>
                <w:bCs/>
                <w:i w:val="false"/>
                <w:iCs w:val="false"/>
                <w:color w:val="991B1B"/>
                <w:sz w:val="17"/>
                <w:szCs w:val="17"/>
              </w:rPr>
              <w:t xml:space="preserve">LOWEST  (most residential)</w:t>
            </w:r>
          </w:p>
        </w:tc>
      </w:tr>
      <w:tr>
        <w:tc>
          <w:tcPr>
            <w:tcBorders>
              <w:top w:val="none" w:color="FFFFFF" w:sz="0"/>
              <w:left w:val="none" w:color="FFFFFF" w:sz="0"/>
              <w:bottom w:val="none" w:color="FFFFFF" w:sz="0"/>
              <w:right w:val="none" w:color="FFFFFF" w:sz="0"/>
            </w:tcBorders>
            <w:shd w:fill="F0FFF4" w:val="clear"/>
            <w:tcMar>
              <w:top w:type="dxa" w:w="60"/>
              <w:left w:type="dxa" w:w="160"/>
              <w:bottom w:type="dxa" w:w="60"/>
              <w:right w:type="dxa" w:w="80"/>
            </w:tcMar>
          </w:tcPr>
          <w:p>
            <w:pPr>
              <w:spacing w:after="160" w:before="0" w:line="390"/>
              <w:ind/>
              <w:jc w:val="left"/>
            </w:pPr>
            <w:r>
              <w:rPr>
                <w:rFonts w:ascii="Calibri" w:cs="Calibri" w:eastAsia="Calibri" w:hAnsi="Calibri"/>
                <w:b w:val="false"/>
                <w:bCs w:val="false"/>
                <w:i w:val="false"/>
                <w:iCs w:val="false"/>
                <w:color w:val="1C2B4A"/>
                <w:sz w:val="19"/>
                <w:szCs w:val="19"/>
              </w:rPr>
              <w:t xml:space="preserve">Lower Manhattan — 10.0</w:t>
            </w:r>
          </w:p>
        </w:tc>
        <w:tc>
          <w:tcPr>
            <w:tcBorders>
              <w:top w:val="none" w:color="FFFFFF" w:sz="0"/>
              <w:left w:val="none" w:color="FFFFFF" w:sz="0"/>
              <w:bottom w:val="none" w:color="FFFFFF" w:sz="0"/>
              <w:right w:val="none" w:color="FFFFFF" w:sz="0"/>
            </w:tcBorders>
            <w:shd w:fill="FFF5F5" w:val="clear"/>
            <w:tcMar>
              <w:top w:type="dxa" w:w="60"/>
              <w:left w:type="dxa" w:w="80"/>
              <w:bottom w:type="dxa" w:w="60"/>
              <w:right w:type="dxa" w:w="160"/>
            </w:tcMar>
          </w:tcPr>
          <w:p>
            <w:pPr>
              <w:spacing w:after="160" w:before="0" w:line="390"/>
              <w:ind/>
              <w:jc w:val="left"/>
            </w:pPr>
            <w:r>
              <w:rPr>
                <w:rFonts w:ascii="Calibri" w:cs="Calibri" w:eastAsia="Calibri" w:hAnsi="Calibri"/>
                <w:b w:val="false"/>
                <w:bCs w:val="false"/>
                <w:i w:val="false"/>
                <w:iCs w:val="false"/>
                <w:color w:val="1C2B4A"/>
                <w:sz w:val="19"/>
                <w:szCs w:val="19"/>
              </w:rPr>
              <w:t xml:space="preserve">Fresh Meadows — 1.0</w:t>
            </w:r>
          </w:p>
        </w:tc>
      </w:tr>
      <w:tr>
        <w:tc>
          <w:tcPr>
            <w:tcBorders>
              <w:top w:val="none" w:color="FFFFFF" w:sz="0"/>
              <w:left w:val="none" w:color="FFFFFF" w:sz="0"/>
              <w:bottom w:val="none" w:color="FFFFFF" w:sz="0"/>
              <w:right w:val="none" w:color="FFFFFF" w:sz="0"/>
            </w:tcBorders>
            <w:shd w:fill="E8F5E9" w:val="clear"/>
            <w:tcMar>
              <w:top w:type="dxa" w:w="60"/>
              <w:left w:type="dxa" w:w="160"/>
              <w:bottom w:type="dxa" w:w="60"/>
              <w:right w:type="dxa" w:w="80"/>
            </w:tcMar>
          </w:tcPr>
          <w:p>
            <w:pPr>
              <w:spacing w:after="160" w:before="0" w:line="390"/>
              <w:ind/>
              <w:jc w:val="left"/>
            </w:pPr>
            <w:r>
              <w:rPr>
                <w:rFonts w:ascii="Calibri" w:cs="Calibri" w:eastAsia="Calibri" w:hAnsi="Calibri"/>
                <w:b w:val="false"/>
                <w:bCs w:val="false"/>
                <w:i w:val="false"/>
                <w:iCs w:val="false"/>
                <w:color w:val="1C2B4A"/>
                <w:sz w:val="19"/>
                <w:szCs w:val="19"/>
              </w:rPr>
              <w:t xml:space="preserve">Greenwich Village–SoHo — 7.5</w:t>
            </w:r>
          </w:p>
        </w:tc>
        <w:tc>
          <w:tcPr>
            <w:tcBorders>
              <w:top w:val="none" w:color="FFFFFF" w:sz="0"/>
              <w:left w:val="none" w:color="FFFFFF" w:sz="0"/>
              <w:bottom w:val="none" w:color="FFFFFF" w:sz="0"/>
              <w:right w:val="none" w:color="FFFFFF" w:sz="0"/>
            </w:tcBorders>
            <w:shd w:fill="FEF2F2" w:val="clear"/>
            <w:tcMar>
              <w:top w:type="dxa" w:w="60"/>
              <w:left w:type="dxa" w:w="80"/>
              <w:bottom w:type="dxa" w:w="60"/>
              <w:right w:type="dxa" w:w="160"/>
            </w:tcMar>
          </w:tcPr>
          <w:p>
            <w:pPr>
              <w:spacing w:after="160" w:before="0" w:line="390"/>
              <w:ind/>
              <w:jc w:val="left"/>
            </w:pPr>
            <w:r>
              <w:rPr>
                <w:rFonts w:ascii="Calibri" w:cs="Calibri" w:eastAsia="Calibri" w:hAnsi="Calibri"/>
                <w:b w:val="false"/>
                <w:bCs w:val="false"/>
                <w:i w:val="false"/>
                <w:iCs w:val="false"/>
                <w:color w:val="1C2B4A"/>
                <w:sz w:val="19"/>
                <w:szCs w:val="19"/>
              </w:rPr>
              <w:t xml:space="preserve">Bayside–Little Neck — 1.0</w:t>
            </w:r>
          </w:p>
        </w:tc>
      </w:tr>
      <w:tr>
        <w:tc>
          <w:tcPr>
            <w:tcBorders>
              <w:top w:val="none" w:color="FFFFFF" w:sz="0"/>
              <w:left w:val="none" w:color="FFFFFF" w:sz="0"/>
              <w:bottom w:val="none" w:color="FFFFFF" w:sz="0"/>
              <w:right w:val="none" w:color="FFFFFF" w:sz="0"/>
            </w:tcBorders>
            <w:shd w:fill="F0FFF4" w:val="clear"/>
            <w:tcMar>
              <w:top w:type="dxa" w:w="60"/>
              <w:left w:type="dxa" w:w="160"/>
              <w:bottom w:type="dxa" w:w="60"/>
              <w:right w:type="dxa" w:w="80"/>
            </w:tcMar>
          </w:tcPr>
          <w:p>
            <w:pPr>
              <w:spacing w:after="160" w:before="0" w:line="390"/>
              <w:ind/>
              <w:jc w:val="left"/>
            </w:pPr>
            <w:r>
              <w:rPr>
                <w:rFonts w:ascii="Calibri" w:cs="Calibri" w:eastAsia="Calibri" w:hAnsi="Calibri"/>
                <w:b w:val="false"/>
                <w:bCs w:val="false"/>
                <w:i w:val="false"/>
                <w:iCs w:val="false"/>
                <w:color w:val="1C2B4A"/>
                <w:sz w:val="19"/>
                <w:szCs w:val="19"/>
              </w:rPr>
              <w:t xml:space="preserve">Gramercy Park–Murray Hill — 5.0</w:t>
            </w:r>
          </w:p>
        </w:tc>
        <w:tc>
          <w:tcPr>
            <w:tcBorders>
              <w:top w:val="none" w:color="FFFFFF" w:sz="0"/>
              <w:left w:val="none" w:color="FFFFFF" w:sz="0"/>
              <w:bottom w:val="none" w:color="FFFFFF" w:sz="0"/>
              <w:right w:val="none" w:color="FFFFFF" w:sz="0"/>
            </w:tcBorders>
            <w:shd w:fill="FFF5F5" w:val="clear"/>
            <w:tcMar>
              <w:top w:type="dxa" w:w="60"/>
              <w:left w:type="dxa" w:w="80"/>
              <w:bottom w:type="dxa" w:w="60"/>
              <w:right w:type="dxa" w:w="160"/>
            </w:tcMar>
          </w:tcPr>
          <w:p>
            <w:pPr>
              <w:spacing w:after="160" w:before="0" w:line="390"/>
              <w:ind/>
              <w:jc w:val="left"/>
            </w:pPr>
            <w:r>
              <w:rPr>
                <w:rFonts w:ascii="Calibri" w:cs="Calibri" w:eastAsia="Calibri" w:hAnsi="Calibri"/>
                <w:b w:val="false"/>
                <w:bCs w:val="false"/>
                <w:i w:val="false"/>
                <w:iCs w:val="false"/>
                <w:color w:val="1C2B4A"/>
                <w:sz w:val="19"/>
                <w:szCs w:val="19"/>
              </w:rPr>
              <w:t xml:space="preserve">Southeast Queens — 1.0</w:t>
            </w:r>
          </w:p>
        </w:tc>
      </w:tr>
      <w:tr>
        <w:tc>
          <w:tcPr>
            <w:tcBorders>
              <w:top w:val="none" w:color="FFFFFF" w:sz="0"/>
              <w:left w:val="none" w:color="FFFFFF" w:sz="0"/>
              <w:bottom w:val="none" w:color="FFFFFF" w:sz="0"/>
              <w:right w:val="none" w:color="FFFFFF" w:sz="0"/>
            </w:tcBorders>
            <w:shd w:fill="E8F5E9" w:val="clear"/>
            <w:tcMar>
              <w:top w:type="dxa" w:w="60"/>
              <w:left w:type="dxa" w:w="160"/>
              <w:bottom w:type="dxa" w:w="60"/>
              <w:right w:type="dxa" w:w="80"/>
            </w:tcMar>
          </w:tcPr>
          <w:p>
            <w:pPr>
              <w:spacing w:after="160" w:before="0" w:line="390"/>
              <w:ind/>
              <w:jc w:val="left"/>
            </w:pPr>
            <w:r>
              <w:rPr>
                <w:rFonts w:ascii="Calibri" w:cs="Calibri" w:eastAsia="Calibri" w:hAnsi="Calibri"/>
                <w:b w:val="false"/>
                <w:bCs w:val="false"/>
                <w:i w:val="false"/>
                <w:iCs w:val="false"/>
                <w:color w:val="1C2B4A"/>
                <w:sz w:val="19"/>
                <w:szCs w:val="19"/>
              </w:rPr>
              <w:t xml:space="preserve">Chelsea–Clinton — 4.6</w:t>
            </w:r>
          </w:p>
        </w:tc>
        <w:tc>
          <w:tcPr>
            <w:tcBorders>
              <w:top w:val="none" w:color="FFFFFF" w:sz="0"/>
              <w:left w:val="none" w:color="FFFFFF" w:sz="0"/>
              <w:bottom w:val="none" w:color="FFFFFF" w:sz="0"/>
              <w:right w:val="none" w:color="FFFFFF" w:sz="0"/>
            </w:tcBorders>
            <w:shd w:fill="FEF2F2" w:val="clear"/>
            <w:tcMar>
              <w:top w:type="dxa" w:w="60"/>
              <w:left w:type="dxa" w:w="80"/>
              <w:bottom w:type="dxa" w:w="60"/>
              <w:right w:type="dxa" w:w="160"/>
            </w:tcMar>
          </w:tcPr>
          <w:p>
            <w:pPr>
              <w:spacing w:after="160" w:before="0" w:line="390"/>
              <w:ind/>
              <w:jc w:val="left"/>
            </w:pPr>
            <w:r>
              <w:rPr>
                <w:rFonts w:ascii="Calibri" w:cs="Calibri" w:eastAsia="Calibri" w:hAnsi="Calibri"/>
                <w:b w:val="false"/>
                <w:bCs w:val="false"/>
                <w:i w:val="false"/>
                <w:iCs w:val="false"/>
                <w:color w:val="1C2B4A"/>
                <w:sz w:val="19"/>
                <w:szCs w:val="19"/>
              </w:rPr>
              <w:t xml:space="preserve">South Beach–Tottenville — 1.1</w:t>
            </w:r>
          </w:p>
        </w:tc>
      </w:tr>
      <w:tr>
        <w:tc>
          <w:tcPr>
            <w:tcBorders>
              <w:top w:val="none" w:color="FFFFFF" w:sz="0"/>
              <w:left w:val="none" w:color="FFFFFF" w:sz="0"/>
              <w:bottom w:val="none" w:color="FFFFFF" w:sz="0"/>
              <w:right w:val="none" w:color="FFFFFF" w:sz="0"/>
            </w:tcBorders>
            <w:shd w:fill="F0FFF4" w:val="clear"/>
            <w:tcMar>
              <w:top w:type="dxa" w:w="60"/>
              <w:left w:type="dxa" w:w="160"/>
              <w:bottom w:type="dxa" w:w="60"/>
              <w:right w:type="dxa" w:w="80"/>
            </w:tcMar>
          </w:tcPr>
          <w:p>
            <w:pPr>
              <w:spacing w:after="160" w:before="0" w:line="390"/>
              <w:ind/>
              <w:jc w:val="left"/>
            </w:pPr>
            <w:r>
              <w:rPr>
                <w:rFonts w:ascii="Calibri" w:cs="Calibri" w:eastAsia="Calibri" w:hAnsi="Calibri"/>
                <w:b w:val="false"/>
                <w:bCs w:val="false"/>
                <w:i w:val="false"/>
                <w:iCs w:val="false"/>
                <w:color w:val="1C2B4A"/>
                <w:sz w:val="19"/>
                <w:szCs w:val="19"/>
              </w:rPr>
              <w:t xml:space="preserve">Upper East Side — 2.4</w:t>
            </w:r>
          </w:p>
        </w:tc>
        <w:tc>
          <w:tcPr>
            <w:tcBorders>
              <w:top w:val="none" w:color="FFFFFF" w:sz="0"/>
              <w:left w:val="none" w:color="FFFFFF" w:sz="0"/>
              <w:bottom w:val="none" w:color="FFFFFF" w:sz="0"/>
              <w:right w:val="none" w:color="FFFFFF" w:sz="0"/>
            </w:tcBorders>
            <w:shd w:fill="FFF5F5" w:val="clear"/>
            <w:tcMar>
              <w:top w:type="dxa" w:w="60"/>
              <w:left w:type="dxa" w:w="80"/>
              <w:bottom w:type="dxa" w:w="60"/>
              <w:right w:type="dxa" w:w="160"/>
            </w:tcMar>
          </w:tcPr>
          <w:p>
            <w:pPr>
              <w:spacing w:after="160" w:before="0" w:line="390"/>
              <w:ind/>
              <w:jc w:val="left"/>
            </w:pPr>
            <w:r>
              <w:rPr>
                <w:rFonts w:ascii="Calibri" w:cs="Calibri" w:eastAsia="Calibri" w:hAnsi="Calibri"/>
                <w:b w:val="false"/>
                <w:bCs w:val="false"/>
                <w:i w:val="false"/>
                <w:iCs w:val="false"/>
                <w:color w:val="1C2B4A"/>
                <w:sz w:val="19"/>
                <w:szCs w:val="19"/>
              </w:rPr>
              <w:t xml:space="preserve">Rockaway — 1.1</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MODEL RESULTS — FULL TWO-LEVEL MODEL (LEVEL 1 + NEQ)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2520"/>
      </w:tblGrid>
      <w:tr>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FFFFFF"/>
                <w:sz w:val="17"/>
                <w:szCs w:val="17"/>
              </w:rPr>
              <w:t xml:space="preserve">Exam</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Coefficient (β)</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Std Error</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p-value</w:t>
            </w:r>
          </w:p>
        </w:tc>
        <w:tc>
          <w:tcPr>
            <w:tcBorders>
              <w:top w:val="single" w:color="CBD5E1" w:sz="1"/>
              <w:left w:val="single" w:color="CBD5E1" w:sz="1"/>
              <w:bottom w:val="single" w:color="CBD5E1" w:sz="1"/>
              <w:right w:val="single" w:color="CBD5E1" w:sz="1"/>
            </w:tcBorders>
            <w:shd w:fill="0D3880"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FFFFFF"/>
                <w:sz w:val="17"/>
                <w:szCs w:val="17"/>
              </w:rPr>
              <w:t xml:space="preserve">Result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Algebra I (CC)</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+0.275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0.306</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.368</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ns — not significant</w:t>
            </w:r>
          </w:p>
        </w:tc>
      </w:tr>
      <w:tr>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ELA (CC)</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+1.180</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0.395</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.003</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p&lt;.01 — significant</w:t>
            </w:r>
          </w:p>
        </w:tc>
      </w:tr>
      <w:tr>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left"/>
            </w:pPr>
            <w:r>
              <w:rPr>
                <w:rFonts w:ascii="Calibri" w:cs="Calibri" w:eastAsia="Calibri" w:hAnsi="Calibri"/>
                <w:b/>
                <w:bCs/>
                <w:i w:val="false"/>
                <w:iCs w:val="false"/>
                <w:color w:val="1C2B4A"/>
                <w:sz w:val="18"/>
                <w:szCs w:val="18"/>
              </w:rPr>
              <w:t xml:space="preserve">Living Env.</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bCs/>
                <w:i w:val="false"/>
                <w:iCs w:val="false"/>
                <w:color w:val="166534"/>
                <w:sz w:val="18"/>
                <w:szCs w:val="18"/>
              </w:rPr>
              <w:t xml:space="preserve">+0.931</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0.325</w:t>
            </w:r>
          </w:p>
        </w:tc>
        <w:tc>
          <w:tcPr>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2D3748"/>
                <w:sz w:val="18"/>
                <w:szCs w:val="18"/>
              </w:rPr>
              <w:t xml:space="preserve">.004</w:t>
            </w:r>
          </w:p>
        </w:tc>
        <w:tc>
          <w:tcPr>
            <w:tcBorders>
              <w:top w:val="single" w:color="CBD5E1" w:sz="1"/>
              <w:left w:val="single" w:color="CBD5E1" w:sz="1"/>
              <w:bottom w:val="single" w:color="CBD5E1" w:sz="1"/>
              <w:right w:val="single" w:color="CBD5E1" w:sz="1"/>
            </w:tcBorders>
            <w:shd w:fill="F5F7FA" w:val="clear"/>
            <w:tcMar>
              <w:top w:type="dxa" w:w="80"/>
              <w:left w:type="dxa" w:w="140"/>
              <w:bottom w:type="dxa" w:w="80"/>
              <w:right w:type="dxa" w:w="140"/>
            </w:tcMar>
          </w:tcPr>
          <w:p>
            <w:pPr>
              <w:spacing w:after="160" w:before="0" w:line="390"/>
              <w:ind/>
              <w:jc w:val="center"/>
            </w:pPr>
            <w:r>
              <w:rPr>
                <w:rFonts w:ascii="Calibri" w:cs="Calibri" w:eastAsia="Calibri" w:hAnsi="Calibri"/>
                <w:b w:val="false"/>
                <w:bCs w:val="false"/>
                <w:i w:val="false"/>
                <w:iCs w:val="false"/>
                <w:color w:val="64748B"/>
                <w:sz w:val="18"/>
                <w:szCs w:val="18"/>
              </w:rPr>
              <w:t xml:space="preserve">★★ p&lt;.01 — significant</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ELA: γ₀₁ = +1.180, p = .003. A school in a neighborhood one standard deviation higher on NEQ is predicted to score 1.18 points higher on ELA — after all school-level controls are held constant. NEQ explains an additional 5.6% of between-neighborhood variance beyond what school demographics can account for.
Living Environment: γ₀₁ = +0.931, p = .004. NEQ explains an additional 1.6% of between-neighborhood variance in science scores.
Algebra: γ₀₁ = +0.275, p = .368 — not significant. School-level factors explain 97.1% of neighborhood differences in Algebra, leaving almost no variance for NEQ to explain. Math outcomes are determined by what happens inside the school.
The subject-specificity — ELA and science respond to neighborhood structure, math does not — is the central empirical contribution of the study.</w:t>
            </w:r>
          </w:p>
        </w:tc>
      </w:tr>
    </w:tbl>
    <w:p>
      <w:pPr>
        <w:spacing w:after="8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none" w:color="FFFFFF" w:sz="0"/>
              <w:bottom w:val="none" w:color="FFFFFF" w:sz="0"/>
              <w:right w:val="none" w:color="FFFFFF" w:sz="0"/>
            </w:tcBorders>
            <w:shd w:fill="FFF8E1" w:val="clear"/>
            <w:tcMar>
              <w:top w:type="dxa" w:w="100"/>
              <w:left w:type="dxa" w:w="200"/>
              <w:bottom w:type="dxa" w:w="100"/>
              <w:right w:type="dxa" w:w="200"/>
            </w:tcMar>
          </w:tcPr>
          <w:p>
            <w:pPr>
              <w:spacing w:after="0" w:before="0" w:line="360"/>
            </w:pPr>
            <w:r>
              <w:rPr>
                <w:rFonts w:ascii="Calibri" w:cs="Calibri" w:eastAsia="Calibri" w:hAnsi="Calibri"/>
                <w:b/>
                <w:bCs/>
                <w:i w:val="false"/>
                <w:iCs w:val="false"/>
                <w:color w:val="92400E"/>
                <w:sz w:val="18"/>
                <w:szCs w:val="18"/>
              </w:rPr>
              <w:t xml:space="preserve">Known limitation: </w:t>
            </w:r>
            <w:r>
              <w:rPr>
                <w:rFonts w:ascii="Calibri" w:cs="Calibri" w:eastAsia="Calibri" w:hAnsi="Calibri"/>
                <w:b w:val="false"/>
                <w:bCs w:val="false"/>
                <w:i w:val="false"/>
                <w:iCs w:val="false"/>
                <w:color w:val="78350F"/>
                <w:sz w:val="18"/>
                <w:szCs w:val="18"/>
              </w:rPr>
              <w:t xml:space="preserve">Fresh Meadows, Willowbrook, and South Beach–Tottenville score low on NEQ (suburban residential zoning) but their schools perform well — because their school poverty rates are lower, already captured at Level 1 by EconDisadvantaged_Pct. The index correctly identifies commercial-residential mix as a structural indicator but misclassifies suburban residential wealth as structural exclusion.</w:t>
            </w:r>
          </w:p>
        </w:tc>
      </w:tr>
    </w:tbl>
    <w:p>
      <w:pPr>
        <w:spacing w:after="160" w:before="0"/>
      </w:pPr>
      <w:r>
        <w:rPr>
          <w:rFonts w:ascii="Calibri" w:cs="Calibri" w:eastAsia="Calibri" w:hAnsi="Calibri"/>
          <w:b w:val="false"/>
          <w:bCs w:val="false"/>
          <w:i w:val="false"/>
          <w:iCs w:val="false"/>
          <w:color w:val="2D3748"/>
          <w:sz w:val="2"/>
          <w:szCs w:val="2"/>
        </w:rPr>
        <w:t xml:space="preserve"/>
      </w:r>
    </w:p>
    <w:p>
      <w:pPr>
        <w:pBdr>
          <w:bottom w:val="single" w:color="CBD5E1" w:sz="1" w:space="1"/>
        </w:pBd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56C4"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3.2  Component 1 — Commercial Floor Area Ratio  (mean_commfar)</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mean commercial Floor Area Ratio across all commercially zoned lots in the neighborhood. FAR = total building floor area ÷ lot area. FAR 1.0 means the building equals the lot area. FAR 5.0 means the building has five times the lot area — a mid-rise or tall building. Commercial FAR is set by the NYC Zoning Resolution.</w:t>
      </w:r>
    </w:p>
    <w:p>
      <w:pPr>
        <w:spacing w:after="10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1.011</w:t>
            </w:r>
          </w:p>
        </w:tc>
        <w:tc>
          <w:tcPr>
            <w:tcW w:type="dxa" w:w="234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0.001  (Bayside)</w:t>
            </w:r>
          </w:p>
        </w:tc>
        <w:tc>
          <w:tcPr>
            <w:tcW w:type="dxa" w:w="234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12.24  (Lower Manhattan)</w:t>
            </w:r>
          </w:p>
        </w:tc>
        <w:tc>
          <w:tcPr>
            <w:tcW w:type="dxa" w:w="234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50% weight (Component 1)</w:t>
            </w:r>
          </w:p>
        </w:tc>
      </w:tr>
      <w:tr>
        <w:tc>
          <w:tcPr>
            <w:tcW w:type="dxa" w:w="234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Mean</w:t>
            </w:r>
          </w:p>
        </w:tc>
        <w:tc>
          <w:tcPr>
            <w:tcW w:type="dxa" w:w="234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Min</w:t>
            </w:r>
          </w:p>
        </w:tc>
        <w:tc>
          <w:tcPr>
            <w:tcW w:type="dxa" w:w="234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Max</w:t>
            </w:r>
          </w:p>
        </w:tc>
        <w:tc>
          <w:tcPr>
            <w:tcW w:type="dxa" w:w="234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In NEQ</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NYC PLUTO 2025 (v25.2)  —  pluto_25v2.csv  ·  Field: ComFAR</w:t>
            </w:r>
          </w:p>
          <w:p>
            <w:pPr>
              <w:spacing w:after="0" w:before="40" w:line="340"/>
            </w:pPr>
            <w:r>
              <w:rPr>
                <w:rFonts w:ascii="Calibri" w:cs="Calibri" w:eastAsia="Calibri" w:hAnsi="Calibri"/>
                <w:b w:val="false"/>
                <w:bCs w:val="false"/>
                <w:i w:val="false"/>
                <w:iCs w:val="false"/>
                <w:color w:val="2D3748"/>
                <w:sz w:val="18"/>
                <w:szCs w:val="18"/>
              </w:rPr>
              <w:t xml:space="preserve">Aggregation: mean of ComFAR across all commercial-zoned lots per neighborhood</w:t>
            </w:r>
          </w:p>
          <w:p>
            <w:pPr>
              <w:spacing w:after="0" w:before="40" w:line="340"/>
            </w:pPr>
            <w:r>
              <w:rPr>
                <w:rFonts w:ascii="Calibri" w:cs="Calibri" w:eastAsia="Calibri" w:hAnsi="Calibri"/>
                <w:b w:val="false"/>
                <w:bCs w:val="false"/>
                <w:i w:val="false"/>
                <w:iCs w:val="false"/>
                <w:color w:val="2D3748"/>
                <w:sz w:val="18"/>
                <w:szCs w:val="18"/>
              </w:rPr>
              <w:t xml:space="preserve">URL:     https://www.nyc.gov/site/planning/data-maps/open-data/dwn-pluto-mappluto.page</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EXAMPLES</w:t>
      </w:r>
    </w:p>
    <w:p>
      <w:pPr>
        <w:spacing w:after="160" w:before="0" w:line="400"/>
        <w:ind/>
        <w:jc w:val="left"/>
      </w:pPr>
      <w:r>
        <w:rPr>
          <w:rFonts w:ascii="Calibri" w:cs="Calibri" w:eastAsia="Calibri" w:hAnsi="Calibri"/>
          <w:b w:val="false"/>
          <w:bCs w:val="false"/>
          <w:i w:val="false"/>
          <w:iCs w:val="false"/>
          <w:color w:val="2D3748"/>
          <w:sz w:val="21"/>
          <w:szCs w:val="21"/>
        </w:rPr>
        <w:t xml:space="preserve">Lower Manhattan (12.24) — skyscrapers, office towers, the most commercially intensive zone in NYC</w:t>
      </w:r>
    </w:p>
    <w:p>
      <w:pPr>
        <w:spacing w:after="160" w:before="0" w:line="400"/>
        <w:ind/>
        <w:jc w:val="left"/>
      </w:pPr>
      <w:r>
        <w:rPr>
          <w:rFonts w:ascii="Calibri" w:cs="Calibri" w:eastAsia="Calibri" w:hAnsi="Calibri"/>
          <w:b w:val="false"/>
          <w:bCs w:val="false"/>
          <w:i w:val="false"/>
          <w:iCs w:val="false"/>
          <w:color w:val="2D3748"/>
          <w:sz w:val="21"/>
          <w:szCs w:val="21"/>
        </w:rPr>
        <w:t xml:space="preserve">Greenwich Village (5.98) — dense mixed commercial streets with mid-rise buildings</w:t>
      </w:r>
    </w:p>
    <w:p>
      <w:pPr>
        <w:spacing w:after="160" w:before="0" w:line="400"/>
        <w:ind/>
        <w:jc w:val="left"/>
      </w:pPr>
      <w:r>
        <w:rPr>
          <w:rFonts w:ascii="Calibri" w:cs="Calibri" w:eastAsia="Calibri" w:hAnsi="Calibri"/>
          <w:b w:val="false"/>
          <w:bCs w:val="false"/>
          <w:i w:val="false"/>
          <w:iCs w:val="false"/>
          <w:color w:val="2D3748"/>
          <w:sz w:val="21"/>
          <w:szCs w:val="21"/>
        </w:rPr>
        <w:t xml:space="preserve">Fresh Meadows (0.002) — almost entirely residential, virtually no commercial development</w:t>
      </w:r>
    </w:p>
    <w:p>
      <w:pPr>
        <w:spacing w:after="160" w:before="0" w:line="400"/>
        <w:ind/>
        <w:jc w:val="left"/>
      </w:pPr>
      <w:r>
        <w:rPr>
          <w:rFonts w:ascii="Calibri" w:cs="Calibri" w:eastAsia="Calibri" w:hAnsi="Calibri"/>
          <w:b w:val="false"/>
          <w:bCs w:val="false"/>
          <w:i w:val="false"/>
          <w:iCs w:val="false"/>
          <w:color w:val="2D3748"/>
          <w:sz w:val="21"/>
          <w:szCs w:val="21"/>
        </w:rPr>
        <w:t xml:space="preserve">Rockaway (0.024) — minimal commercial activity along a few beach-area corridors</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WHY THIS VARIABLE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Commercial FAR is a direct output of planning decisions. The NYC Zoning Resolution sets the maximum allowable FAR for every lot in the city. High commercial FAR is only permitted where the city has decided to allow dense commercial development — predominantly Manhattan and major commercial corridors. Low commercial FAR reflects residential zoning or a deliberate decision to restrict commercial activity. The Angotti &amp; Morse (2023) argument: these decisions systematically allocated commercial density to already-wealthy areas while restricting it in communities of color.</w:t>
            </w:r>
          </w:p>
        </w:tc>
      </w:tr>
    </w:tbl>
    <w:p>
      <w:pPr>
        <w:spacing w:after="160" w:before="0"/>
      </w:pPr>
      <w:r>
        <w:rPr>
          <w:rFonts w:ascii="Calibri" w:cs="Calibri" w:eastAsia="Calibri" w:hAnsi="Calibri"/>
          <w:b w:val="false"/>
          <w:bCs w:val="false"/>
          <w:i w:val="false"/>
          <w:iCs w:val="false"/>
          <w:color w:val="2D3748"/>
          <w:sz w:val="2"/>
          <w:szCs w:val="2"/>
        </w:rPr>
        <w:t xml:space="preserve"/>
      </w:r>
    </w:p>
    <w:p>
      <w:pPr>
        <w:pBdr>
          <w:bottom w:val="single" w:color="CBD5E1" w:sz="1" w:space="1"/>
        </w:pBd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56C4" w:val="clear"/>
          </w:tcPr>
          <w:p>
            <w:r>
              <w:rPr>
                <w:rFonts w:ascii="Calibri" w:cs="Calibri" w:eastAsia="Calibri" w:hAnsi="Calibri"/>
                <w:b w:val="false"/>
                <w:bCs w:val="false"/>
                <w:i w:val="false"/>
                <w:iCs w:val="false"/>
                <w:color w:val="2D3748"/>
                <w:sz w:val="2"/>
                <w:szCs w:val="2"/>
              </w:rPr>
              <w:t xml:space="preserve"/>
            </w:r>
          </w:p>
        </w:tc>
        <w:tc>
          <w:tcPr>
            <w:tcW w:type="dxa" w:w="9240"/>
            <w:tcBorders>
              <w:top w:val="none" w:color="FFFFFF" w:sz="0"/>
              <w:left w:val="none" w:color="FFFFFF" w:sz="0"/>
              <w:bottom w:val="none" w:color="FFFFFF" w:sz="0"/>
              <w:right w:val="none" w:color="FFFFFF" w:sz="0"/>
            </w:tcBorders>
            <w:shd w:fill="FAFBFF" w:val="clear"/>
            <w:tcMar>
              <w:top w:type="dxa" w:w="120"/>
              <w:left w:type="dxa" w:w="200"/>
              <w:bottom w:type="dxa" w:w="120"/>
              <w:right w:type="dxa" w:w="0"/>
            </w:tcMar>
          </w:tcPr>
          <w:p>
            <w:pPr>
              <w:spacing w:after="0" w:before="0"/>
            </w:pPr>
            <w:r>
              <w:rPr>
                <w:rFonts w:ascii="Calibri" w:cs="Calibri" w:eastAsia="Calibri" w:hAnsi="Calibri"/>
                <w:b/>
                <w:bCs/>
                <w:i w:val="false"/>
                <w:iCs w:val="false"/>
                <w:color w:val="1C2B4A"/>
                <w:sz w:val="24"/>
                <w:szCs w:val="24"/>
              </w:rPr>
              <w:t xml:space="preserve">3.3  Component 2 — Residential Zone Proportion  (pct_res_zone, flipped)</w:t>
            </w:r>
          </w:p>
        </w:tc>
      </w:tr>
    </w:tbl>
    <w:p>
      <w:pPr>
        <w:spacing w:after="80" w:before="0"/>
      </w:pPr>
      <w:r>
        <w:rPr>
          <w:rFonts w:ascii="Calibri" w:cs="Calibri" w:eastAsia="Calibri" w:hAnsi="Calibri"/>
          <w:b w:val="false"/>
          <w:bCs w:val="false"/>
          <w:i w:val="false"/>
          <w:iCs w:val="false"/>
          <w:color w:val="2D3748"/>
          <w:sz w:val="2"/>
          <w:szCs w:val="2"/>
        </w:rPr>
        <w:t xml:space="preserve"/>
      </w:r>
    </w:p>
    <w:p>
      <w:pPr>
        <w:spacing w:after="160" w:before="0" w:line="400"/>
        <w:ind/>
        <w:jc w:val="left"/>
      </w:pPr>
      <w:r>
        <w:rPr>
          <w:rFonts w:ascii="Calibri" w:cs="Calibri" w:eastAsia="Calibri" w:hAnsi="Calibri"/>
          <w:b w:val="false"/>
          <w:bCs w:val="false"/>
          <w:i w:val="false"/>
          <w:iCs w:val="false"/>
          <w:color w:val="2D3748"/>
          <w:sz w:val="21"/>
          <w:szCs w:val="21"/>
        </w:rPr>
        <w:t xml:space="preserve">The proportion of lots in the neighborhood assigned a residential zoning designation (R1 through R10, all sub-categories) under the NYC Zoning Resolution. This variable is flipped in the NEQ construction — lower residential zone % = more mixed-use = higher NEQ score.</w:t>
      </w:r>
    </w:p>
    <w:p>
      <w:pPr>
        <w:spacing w:after="100" w:before="0"/>
      </w:pPr>
      <w:r>
        <w:rPr>
          <w:rFonts w:ascii="Calibri" w:cs="Calibri" w:eastAsia="Calibri" w:hAnsi="Calibri"/>
          <w:b w:val="false"/>
          <w:bCs w:val="false"/>
          <w:i w:val="false"/>
          <w:iCs w:val="false"/>
          <w:color w:val="2D3748"/>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80.0%</w:t>
            </w:r>
          </w:p>
        </w:tc>
        <w:tc>
          <w:tcPr>
            <w:tcW w:type="dxa" w:w="234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1.4%  (Greenwich Village)</w:t>
            </w:r>
          </w:p>
        </w:tc>
        <w:tc>
          <w:tcPr>
            <w:tcW w:type="dxa" w:w="2340"/>
            <w:tcBorders>
              <w:top w:val="none" w:color="FFFFFF" w:sz="0"/>
              <w:left w:val="none" w:color="FFFFFF" w:sz="0"/>
              <w:bottom w:val="none" w:color="FFFFFF" w:sz="0"/>
              <w:right w:val="none" w:color="FFFFFF" w:sz="0"/>
            </w:tcBorders>
            <w:shd w:fill="EBF3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99.8%  (Bayside)</w:t>
            </w:r>
          </w:p>
        </w:tc>
        <w:tc>
          <w:tcPr>
            <w:tcW w:type="dxa" w:w="2340"/>
            <w:tcBorders>
              <w:top w:val="none" w:color="FFFFFF" w:sz="0"/>
              <w:left w:val="none" w:color="FFFFFF" w:sz="0"/>
              <w:bottom w:val="none" w:color="FFFFFF" w:sz="0"/>
              <w:right w:val="none" w:color="FFFFFF" w:sz="0"/>
            </w:tcBorders>
            <w:shd w:fill="D6E8FF" w:val="clear"/>
            <w:tcMar>
              <w:top w:type="dxa" w:w="100"/>
              <w:left w:type="dxa" w:w="140"/>
              <w:bottom w:type="dxa" w:w="40"/>
              <w:right w:type="dxa" w:w="140"/>
            </w:tcMar>
          </w:tcPr>
          <w:p>
            <w:pPr>
              <w:spacing w:after="0" w:before="0"/>
            </w:pPr>
            <w:r>
              <w:rPr>
                <w:rFonts w:ascii="Calibri" w:cs="Calibri" w:eastAsia="Calibri" w:hAnsi="Calibri"/>
                <w:b/>
                <w:bCs/>
                <w:i w:val="false"/>
                <w:iCs w:val="false"/>
                <w:color w:val="0D3880"/>
                <w:sz w:val="22"/>
                <w:szCs w:val="22"/>
              </w:rPr>
              <w:t xml:space="preserve">50% weight (flipped)</w:t>
            </w:r>
          </w:p>
        </w:tc>
      </w:tr>
      <w:tr>
        <w:tc>
          <w:tcPr>
            <w:tcW w:type="dxa" w:w="234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Mean</w:t>
            </w:r>
          </w:p>
        </w:tc>
        <w:tc>
          <w:tcPr>
            <w:tcW w:type="dxa" w:w="234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Min</w:t>
            </w:r>
          </w:p>
        </w:tc>
        <w:tc>
          <w:tcPr>
            <w:tcW w:type="dxa" w:w="2340"/>
            <w:tcBorders>
              <w:top w:val="none" w:color="FFFFFF" w:sz="0"/>
              <w:left w:val="none" w:color="FFFFFF" w:sz="0"/>
              <w:bottom w:val="none" w:color="FFFFFF" w:sz="0"/>
              <w:right w:val="none" w:color="FFFFFF" w:sz="0"/>
            </w:tcBorders>
            <w:shd w:fill="EBF3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Max</w:t>
            </w:r>
          </w:p>
        </w:tc>
        <w:tc>
          <w:tcPr>
            <w:tcW w:type="dxa" w:w="2340"/>
            <w:tcBorders>
              <w:top w:val="none" w:color="FFFFFF" w:sz="0"/>
              <w:left w:val="none" w:color="FFFFFF" w:sz="0"/>
              <w:bottom w:val="none" w:color="FFFFFF" w:sz="0"/>
              <w:right w:val="none" w:color="FFFFFF" w:sz="0"/>
            </w:tcBorders>
            <w:shd w:fill="D6E8FF" w:val="clear"/>
            <w:tcMar>
              <w:top w:type="dxa" w:w="0"/>
              <w:left w:type="dxa" w:w="140"/>
              <w:bottom w:type="dxa" w:w="100"/>
              <w:right w:type="dxa" w:w="140"/>
            </w:tcMar>
          </w:tcPr>
          <w:p>
            <w:pPr>
              <w:spacing w:after="0" w:before="0"/>
            </w:pPr>
            <w:r>
              <w:rPr>
                <w:rFonts w:ascii="Calibri" w:cs="Calibri" w:eastAsia="Calibri" w:hAnsi="Calibri"/>
                <w:b w:val="false"/>
                <w:bCs w:val="false"/>
                <w:i w:val="false"/>
                <w:iCs w:val="false"/>
                <w:color w:val="64748B"/>
                <w:sz w:val="16"/>
                <w:szCs w:val="16"/>
              </w:rPr>
              <w:t xml:space="preserve">In NEQ</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55A64" w:sz="12" w:space="80"/>
              <w:bottom w:val="none" w:color="FFFFFF" w:sz="0"/>
              <w:right w:val="none" w:color="FFFFFF" w:sz="0"/>
            </w:tcBorders>
            <w:shd w:fill="F5F7FA" w:val="clear"/>
            <w:tcMar>
              <w:top w:type="dxa" w:w="100"/>
              <w:left w:type="dxa" w:w="200"/>
              <w:bottom w:type="dxa" w:w="100"/>
              <w:right w:type="dxa" w:w="200"/>
            </w:tcMar>
          </w:tcPr>
          <w:p>
            <w:pPr>
              <w:spacing w:after="0" w:before="0" w:line="340"/>
            </w:pPr>
            <w:r>
              <w:rPr>
                <w:rFonts w:ascii="Calibri" w:cs="Calibri" w:eastAsia="Calibri" w:hAnsi="Calibri"/>
                <w:b w:val="false"/>
                <w:bCs w:val="false"/>
                <w:i w:val="false"/>
                <w:iCs w:val="false"/>
                <w:color w:val="2D3748"/>
                <w:sz w:val="18"/>
                <w:szCs w:val="18"/>
              </w:rPr>
              <w:t xml:space="preserve">File:    NYC PLUTO 2025 (v25.2)  —  pluto_25v2.csv  ·  Field: ZoneDist1</w:t>
            </w:r>
          </w:p>
          <w:p>
            <w:pPr>
              <w:spacing w:after="0" w:before="40" w:line="340"/>
            </w:pPr>
            <w:r>
              <w:rPr>
                <w:rFonts w:ascii="Calibri" w:cs="Calibri" w:eastAsia="Calibri" w:hAnsi="Calibri"/>
                <w:b w:val="false"/>
                <w:bCs w:val="false"/>
                <w:i w:val="false"/>
                <w:iCs w:val="false"/>
                <w:color w:val="2D3748"/>
                <w:sz w:val="18"/>
                <w:szCs w:val="18"/>
              </w:rPr>
              <w:t xml:space="preserve">Classification: lots where ZoneDist1 begins with "R" = residential</w:t>
            </w:r>
          </w:p>
          <w:p>
            <w:pPr>
              <w:spacing w:after="0" w:before="40" w:line="340"/>
            </w:pPr>
            <w:r>
              <w:rPr>
                <w:rFonts w:ascii="Calibri" w:cs="Calibri" w:eastAsia="Calibri" w:hAnsi="Calibri"/>
                <w:b w:val="false"/>
                <w:bCs w:val="false"/>
                <w:i w:val="false"/>
                <w:iCs w:val="false"/>
                <w:color w:val="2D3748"/>
                <w:sz w:val="18"/>
                <w:szCs w:val="18"/>
              </w:rPr>
              <w:t xml:space="preserve">Aggregation: count of residential lots ÷ total lots per neighborhood</w:t>
            </w:r>
          </w:p>
          <w:p>
            <w:pPr>
              <w:spacing w:after="0" w:before="40" w:line="340"/>
            </w:pPr>
            <w:r>
              <w:rPr>
                <w:rFonts w:ascii="Calibri" w:cs="Calibri" w:eastAsia="Calibri" w:hAnsi="Calibri"/>
                <w:b w:val="false"/>
                <w:bCs w:val="false"/>
                <w:i w:val="false"/>
                <w:iCs w:val="false"/>
                <w:color w:val="2D3748"/>
                <w:sz w:val="18"/>
                <w:szCs w:val="18"/>
              </w:rPr>
              <w:t xml:space="preserve">URL:     https://www.nyc.gov/site/planning/data-maps/open-data/dwn-pluto-mappluto.page</w:t>
            </w:r>
          </w:p>
        </w:tc>
      </w:tr>
    </w:tbl>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EXAMPLES</w:t>
      </w:r>
    </w:p>
    <w:p>
      <w:pPr>
        <w:spacing w:after="160" w:before="0" w:line="400"/>
        <w:ind/>
        <w:jc w:val="left"/>
      </w:pPr>
      <w:r>
        <w:rPr>
          <w:rFonts w:ascii="Calibri" w:cs="Calibri" w:eastAsia="Calibri" w:hAnsi="Calibri"/>
          <w:b w:val="false"/>
          <w:bCs w:val="false"/>
          <w:i w:val="false"/>
          <w:iCs w:val="false"/>
          <w:color w:val="2D3748"/>
          <w:sz w:val="21"/>
          <w:szCs w:val="21"/>
        </w:rPr>
        <w:t xml:space="preserve">Greenwich Village–SoHo (1.4% residential) — dense mixed-use character — high NEQ component</w:t>
      </w:r>
    </w:p>
    <w:p>
      <w:pPr>
        <w:spacing w:after="160" w:before="0" w:line="400"/>
        <w:ind/>
        <w:jc w:val="left"/>
      </w:pPr>
      <w:r>
        <w:rPr>
          <w:rFonts w:ascii="Calibri" w:cs="Calibri" w:eastAsia="Calibri" w:hAnsi="Calibri"/>
          <w:b w:val="false"/>
          <w:bCs w:val="false"/>
          <w:i w:val="false"/>
          <w:iCs w:val="false"/>
          <w:color w:val="2D3748"/>
          <w:sz w:val="21"/>
          <w:szCs w:val="21"/>
        </w:rPr>
        <w:t xml:space="preserve">Chelsea–Clinton (49.6% residential) — balanced mix — moderate NEQ component</w:t>
      </w:r>
    </w:p>
    <w:p>
      <w:pPr>
        <w:spacing w:after="160" w:before="0" w:line="400"/>
        <w:ind/>
        <w:jc w:val="left"/>
      </w:pPr>
      <w:r>
        <w:rPr>
          <w:rFonts w:ascii="Calibri" w:cs="Calibri" w:eastAsia="Calibri" w:hAnsi="Calibri"/>
          <w:b w:val="false"/>
          <w:bCs w:val="false"/>
          <w:i w:val="false"/>
          <w:iCs w:val="false"/>
          <w:color w:val="2D3748"/>
          <w:sz w:val="21"/>
          <w:szCs w:val="21"/>
        </w:rPr>
        <w:t xml:space="preserve">Fresh Meadows (99.8% residential) — nearly exclusively residential — low NEQ component</w:t>
      </w:r>
    </w:p>
    <w:p>
      <w:pPr>
        <w:spacing w:after="100" w:before="0"/>
      </w:pPr>
      <w:r>
        <w:rPr>
          <w:rFonts w:ascii="Calibri" w:cs="Calibri" w:eastAsia="Calibri" w:hAnsi="Calibri"/>
          <w:b w:val="false"/>
          <w:bCs w:val="false"/>
          <w:i w:val="false"/>
          <w:iCs w:val="false"/>
          <w:color w:val="2D3748"/>
          <w:sz w:val="2"/>
          <w:szCs w:val="2"/>
        </w:rPr>
        <w:t xml:space="preserve"/>
      </w:r>
    </w:p>
    <w:p>
      <w:pPr>
        <w:spacing w:after="40" w:before="160" w:line="390"/>
        <w:ind/>
        <w:jc w:val="left"/>
      </w:pPr>
      <w:r>
        <w:rPr>
          <w:rFonts w:ascii="Calibri" w:cs="Calibri" w:eastAsia="Calibri" w:hAnsi="Calibri"/>
          <w:b/>
          <w:bCs/>
          <w:i w:val="false"/>
          <w:iCs w:val="false"/>
          <w:color w:val="1A56C4"/>
          <w:sz w:val="16"/>
          <w:szCs w:val="16"/>
        </w:rPr>
        <w:t xml:space="preserve">WHY THIS VARIABLE MATTERS — AND WHY IT IS FLIPPED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EBF3FF" w:val="clear"/>
            <w:tcMar>
              <w:top w:type="dxa" w:w="140"/>
              <w:left w:type="dxa" w:w="200"/>
              <w:bottom w:type="dxa" w:w="140"/>
              <w:right w:type="dxa" w:w="200"/>
            </w:tcMar>
          </w:tcPr>
          <w:p>
            <w:pPr>
              <w:spacing w:after="0" w:before="0" w:line="400"/>
            </w:pPr>
            <w:r>
              <w:rPr>
                <w:rFonts w:ascii="Calibri" w:cs="Calibri" w:eastAsia="Calibri" w:hAnsi="Calibri"/>
                <w:b w:val="false"/>
                <w:bCs w:val="false"/>
                <w:i w:val="false"/>
                <w:iCs w:val="false"/>
                <w:color w:val="1C2B4A"/>
                <w:sz w:val="20"/>
                <w:szCs w:val="20"/>
              </w:rPr>
              <w:t xml:space="preserve">A neighborhood that is 95% residential has very little land dedicated to anything else — commercial activity, public space, mixed uses. That restriction is enforced through zoning designation and reflects a planning decision to limit the character of the neighborhood. Lower exclusive-residential zoning = more structural opportunity, which is why the variable is multiplied by −1 before entering the NEQ index.
Residential zoning designations (R1–R3 in particular) are the policy instrument of urban exclusion. The Caro (1974) argument is that these designations were applied across NYC not for neutral planning reasons but to maintain racial and economic segregation in outer-borough neighborhoods.</w:t>
            </w:r>
          </w:p>
        </w:tc>
      </w:tr>
    </w:tbl>
    <w:p>
      <w:pPr>
        <w:spacing w:after="200" w:before="0"/>
      </w:pPr>
      <w:r>
        <w:rPr>
          <w:rFonts w:ascii="Calibri" w:cs="Calibri" w:eastAsia="Calibri" w:hAnsi="Calibri"/>
          <w:b w:val="false"/>
          <w:bCs w:val="false"/>
          <w:i w:val="false"/>
          <w:iCs w:val="false"/>
          <w:color w:val="2D3748"/>
          <w:sz w:val="2"/>
          <w:szCs w:val="2"/>
        </w:rPr>
        <w:t xml:space="preserve"/>
      </w:r>
    </w:p>
    <w:p>
      <w:pPr>
        <w:pBdr>
          <w:bottom w:val="single" w:color="1A56C4" w:sz="6" w:space="1"/>
        </w:pBdr>
        <w:spacing w:after="0" w:before="0"/>
      </w:pPr>
    </w:p>
    <w:p>
      <w:pPr>
        <w:spacing w:after="80" w:before="0"/>
      </w:pPr>
      <w:r>
        <w:rPr>
          <w:rFonts w:ascii="Calibri" w:cs="Calibri" w:eastAsia="Calibri" w:hAnsi="Calibri"/>
          <w:b w:val="false"/>
          <w:bCs w:val="false"/>
          <w:i w:val="false"/>
          <w:iCs w:val="false"/>
          <w:color w:val="2D3748"/>
          <w:sz w:val="2"/>
          <w:szCs w:val="2"/>
        </w:rPr>
        <w:t xml:space="preserve"/>
      </w:r>
    </w:p>
    <w:p>
      <w:pPr>
        <w:spacing w:after="40" w:before="0"/>
        <w:jc w:val="center"/>
      </w:pPr>
      <w:r>
        <w:rPr>
          <w:rFonts w:ascii="Calibri" w:cs="Calibri" w:eastAsia="Calibri" w:hAnsi="Calibri"/>
          <w:b/>
          <w:bCs/>
          <w:i w:val="false"/>
          <w:iCs w:val="false"/>
          <w:color w:val="1C2B4A"/>
          <w:sz w:val="18"/>
          <w:szCs w:val="18"/>
        </w:rPr>
        <w:t xml:space="preserve">Behind the Score  —  Complete Variable Codebook</w:t>
      </w:r>
    </w:p>
    <w:p>
      <w:pPr>
        <w:spacing w:after="0" w:before="0"/>
        <w:jc w:val="center"/>
      </w:pPr>
      <w:r>
        <w:rPr>
          <w:rFonts w:ascii="Calibri" w:cs="Calibri" w:eastAsia="Calibri" w:hAnsi="Calibri"/>
          <w:b w:val="false"/>
          <w:bCs w:val="false"/>
          <w:i/>
          <w:iCs/>
          <w:color w:val="64748B"/>
          <w:sz w:val="17"/>
          <w:szCs w:val="17"/>
        </w:rPr>
        <w:t xml:space="preserve">Vi Kovacevic  ·  CUNY Graduate Center  ·  Adviser: Dr. Howard Everson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2"/>
      </w:pBdr>
      <w:jc w:val="right"/>
    </w:pPr>
    <w:r>
      <w:rPr>
        <w:rFonts w:ascii="Calibri" w:cs="Calibri" w:eastAsia="Calibri" w:hAnsi="Calibri"/>
        <w:b w:val="false"/>
        <w:bCs w:val="false"/>
        <w:i w:val="false"/>
        <w:iCs w:val="false"/>
        <w:color w:val="64748B"/>
        <w:sz w:val="16"/>
        <w:szCs w:val="16"/>
      </w:rPr>
      <w:t xml:space="preserve">CUNY Graduate Center  |  Dr. Howard Everson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C4" w:sz="3" w:space="2"/>
      </w:pBdr>
    </w:pPr>
    <w:r>
      <w:rPr>
        <w:rFonts w:ascii="Calibri" w:cs="Calibri" w:eastAsia="Calibri" w:hAnsi="Calibri"/>
        <w:b w:val="false"/>
        <w:bCs w:val="false"/>
        <w:i w:val="false"/>
        <w:iCs w:val="false"/>
        <w:color w:val="64748B"/>
        <w:sz w:val="16"/>
        <w:szCs w:val="16"/>
      </w:rPr>
      <w:t xml:space="preserve">Behind the Score  |  Variable Codebook  |  Kovacevic,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Calibri" w:cs="Calibri" w:eastAsia="Calibri" w:hAnsi="Calibri"/>
      <w:b/>
      <w:bCs/>
      <w:color w:val="1A56C4"/>
      <w:sz w:val="28"/>
      <w:szCs w:val="28"/>
    </w:rPr>
  </w:style>
  <w:style w:type="paragraph" w:styleId="Heading2">
    <w:name w:val="Heading 2"/>
    <w:basedOn w:val="Normal"/>
    <w:next w:val="Normal"/>
    <w:pPr>
      <w:spacing w:after="80" w:before="280"/>
      <w:outlineLvl w:val="1"/>
    </w:pPr>
    <w:rPr>
      <w:rFonts w:ascii="Calibri" w:cs="Calibri" w:eastAsia="Calibri" w:hAnsi="Calibri"/>
      <w:b/>
      <w:bCs/>
      <w:color w:val="0D38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2026-04-27T06:00:15.841Z</dcterms:created>
  <dcterms:modified xsi:type="dcterms:W3CDTF">2026-04-27T06:00:15.842Z</dcterms:modified>
</cp:coreProperties>
</file>

<file path=docProps/custom.xml><?xml version="1.0" encoding="utf-8"?>
<Properties xmlns="http://schemas.openxmlformats.org/officeDocument/2006/custom-properties" xmlns:vt="http://schemas.openxmlformats.org/officeDocument/2006/docPropsVTypes"/>
</file>