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42C53"/>
          <w:sz w:val="40"/>
          <w:szCs w:val="40"/>
        </w:rPr>
        <w:t xml:space="preserve">PSLM Education Data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Variable Definitions &amp; Project Reference — Simple Summary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Vikram Kumar  |  BS Data Science  |  Sindh University  |  2025</w:t>
      </w:r>
    </w:p>
    <w:p>
      <w:pPr>
        <w:pBdr>
          <w:bottom w:val="single" w:color="185FA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42C53"/>
          <w:sz w:val="30"/>
          <w:szCs w:val="30"/>
        </w:rPr>
        <w:t xml:space="preserve">Key statistics — Pakistan 2024-25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your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 attended school (10+)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67%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33% of Pakistanis aged 10+ have never been to school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 of school children (5-16)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28%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core problem statement — 1 in 4 children excluded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Literacy rate (10+)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63%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National benchmark for adult education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NER Primary (age 6-10)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68%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32% of primary-age children not in school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NER Middle (age 11-13)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28-point drop from primary — major dropout crisis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NER Matric (age 14-15)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38-point drop from primary — critical finding for your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Sindh attendance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 points below national average of 67%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Balochistan attendance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51%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Worst province — your comparative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Household internet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70%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Digital access feature for ML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Household with computer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14%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Digital poverty indicator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18"/>
              <w:bottom w:val="single" w:color="CCCCCC" w:sz="1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The dropout funnel — most important number in your project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NER drops from 68% (primary) to 40% (middle) to 30% (matric). That is a 38 percentage-point collapse from start to end of school. Every step up the ladder, more children — especially girls — fall out. This is your problem statement.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85FA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42C53"/>
          <w:sz w:val="30"/>
          <w:szCs w:val="30"/>
        </w:rPr>
        <w:t xml:space="preserve">Indicators — plain English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Literacy rate (age 10+)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share of people aged 10 and above who can read and write a simple letter or newspaper. Pakistan is at 63% — meaning 37% of adults cannot read or write. Use this as your gender gap baseline: female literacy is significantly lower than male literacy, especially in rural Sindh.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Gross Enrolment Rate (GER)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Total number of children attending a school level divided by the official age group for that level — multiplied by 100. GER can exceed 100% because it counts over-age students. Pakistan's Primary GER is 90%.</w:t>
      </w:r>
    </w:p>
    <w:p>
      <w:pPr>
        <w:spacing w:before="6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Net Enrolment Rate (NER)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Only children of the official age attending the correct level are counted. Pakistan's Primary NER is 68% — 22 points below the GER of 90%. That 22-point gap = over-age students who were held back or enrolled late. NER is the better measure of how many age-appropriate children are actually in school.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140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(over-age)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22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11-13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21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14-15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30 points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85FA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42C53"/>
          <w:sz w:val="30"/>
          <w:szCs w:val="30"/>
        </w:rPr>
        <w:t xml:space="preserve">Planned ML model features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S002 / survey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Male = 0, Female =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AREA 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Urban = 1, Rural =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Label-encoded categorical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province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Sindh, Punjab, KPK, Balochistan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school_distance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PSLM / ASER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Km to nearest school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household_income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PSLM quintile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Wealth quintile 1-5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literacy_rate_district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PSLM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District-level literacy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internet_access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PSLM household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Has internet = 1, No =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teacher_count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ASER school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Number of teachers at school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school_type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STYPE column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Government vs private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85FA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42C53"/>
          <w:sz w:val="30"/>
          <w:szCs w:val="30"/>
        </w:rPr>
        <w:t xml:space="preserve">Where to download the data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Website: pslm.pbs.gov.pk  |  Section: Education &amp; ICT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to 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 of school children by district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Dropout target variable (Week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Literacy rate — male vs female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Gender gap EDA (Week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NER primary + middle + matric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Dropout funnel analysis (Week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Ever attended school time series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 series charts (Week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Household internet / device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CSV / Excel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ML model features (Week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ASER 2023 school microdata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Excel (ITAASER2023School)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School-level features (Week 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85FA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42C53"/>
          <w:sz w:val="30"/>
          <w:szCs w:val="30"/>
        </w:rPr>
        <w:t xml:space="preserve">Research question &amp; target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18"/>
              <w:bottom w:val="single" w:color="CCCCCC" w:sz="1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2C53"/>
                <w:sz w:val="21"/>
                <w:szCs w:val="21"/>
              </w:rPr>
              <w:t xml:space="preserve">Research question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 socioeconomic, geographic, and gender-based factors predict school dropout in Pakistan, with a focus on Sindh?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18"/>
              <w:bottom w:val="single" w:color="CCCCCC" w:sz="1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1"/>
                <w:szCs w:val="21"/>
              </w:rPr>
              <w:t xml:space="preserve">Target variable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dropout = 1 if a child aged 6-16 is not currently enrolled in school. Derived from ASER microdata column S00 (or equivalent attendance column). Non-enrolment = the child has dropped out or never enrolled.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Pakistan Dropout Prediction + Gender Gap Analysis  |  Vikram Kumar  |  BS Data Science, Sindh University  | 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2026-03-31T10:25:17.109Z</dcterms:created>
  <dcterms:modified xsi:type="dcterms:W3CDTF">2026-03-31T10:25:17.109Z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