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D4ED8"/>
          <w:sz w:val="48"/>
          <w:szCs w:val="48"/>
        </w:rPr>
        <w:t xml:space="preserve">US HOMEOWNERS</w:t>
      </w:r>
    </w:p>
    <w:p>
      <w:pPr>
        <w:spacing w:after="200"/>
        <w:jc w:val="center"/>
      </w:pPr>
      <w:r>
        <w:rPr>
          <w:rFonts w:ascii="Arial" w:cs="Arial" w:eastAsia="Arial" w:hAnsi="Arial"/>
          <w:b/>
          <w:bCs/>
          <w:color w:val="0F172A"/>
          <w:sz w:val="48"/>
          <w:szCs w:val="48"/>
        </w:rPr>
        <w:t xml:space="preserve">RISK SCORING ENGINE</w:t>
      </w:r>
    </w:p>
    <w:p>
      <w:pPr>
        <w:spacing w:after="400"/>
        <w:jc w:val="center"/>
      </w:pPr>
      <w:r>
        <w:rPr>
          <w:rFonts w:ascii="Arial" w:cs="Arial" w:eastAsia="Arial" w:hAnsi="Arial"/>
          <w:color w:val="6B7280"/>
          <w:sz w:val="28"/>
          <w:szCs w:val="28"/>
        </w:rPr>
        <w:t xml:space="preserve">Technical &amp; Business Reference Manual</w:t>
      </w:r>
    </w:p>
    <w:p>
      <w:pPr>
        <w:spacing w:before="600"/>
      </w:pPr>
    </w:p>
    <w:p>
      <w:pPr>
        <w:spacing w:after="120"/>
        <w:jc w:val="center"/>
      </w:pPr>
      <w:r>
        <w:rPr>
          <w:rFonts w:ascii="Arial" w:cs="Arial" w:eastAsia="Arial" w:hAnsi="Arial"/>
          <w:color w:val="374151"/>
          <w:sz w:val="22"/>
          <w:szCs w:val="22"/>
        </w:rPr>
        <w:t xml:space="preserve">Business Development Demo Application</w:t>
      </w:r>
    </w:p>
    <w:p>
      <w:pPr>
        <w:spacing w:after="120"/>
        <w:jc w:val="center"/>
      </w:pPr>
      <w:r>
        <w:rPr>
          <w:rFonts w:ascii="Arial" w:cs="Arial" w:eastAsia="Arial" w:hAnsi="Arial"/>
          <w:color w:val="6B7280"/>
          <w:sz w:val="20"/>
          <w:szCs w:val="20"/>
        </w:rPr>
        <w:t xml:space="preserve">Version 5.0  |  March 2026</w:t>
      </w:r>
    </w:p>
    <w:p>
      <w:pPr>
        <w:spacing w:after="120"/>
        <w:jc w:val="center"/>
      </w:pPr>
      <w:r>
        <w:rPr>
          <w:rFonts w:ascii="Arial" w:cs="Arial" w:eastAsia="Arial" w:hAnsi="Arial"/>
          <w:b/>
          <w:bCs/>
          <w:color w:val="B45309"/>
          <w:sz w:val="20"/>
          <w:szCs w:val="20"/>
        </w:rPr>
        <w:t xml:space="preserve">GLM + M̂ Interaction Multiplier Architecture</w:t>
      </w:r>
    </w:p>
    <w:p>
      <w:pPr>
        <w:spacing w:before="1200"/>
      </w:pPr>
    </w:p>
    <w:p>
      <w:pPr>
        <w:spacing w:after="60"/>
        <w:jc w:val="center"/>
      </w:pPr>
      <w:r>
        <w:rPr>
          <w:rFonts w:ascii="Arial" w:cs="Arial" w:eastAsia="Arial" w:hAnsi="Arial"/>
          <w:b/>
          <w:bCs/>
          <w:color w:val="DC2626"/>
          <w:sz w:val="18"/>
          <w:szCs w:val="18"/>
        </w:rPr>
        <w:t xml:space="preserve">CONFIDENTIAL</w:t>
      </w:r>
    </w:p>
    <w:p>
      <w:pPr>
        <w:jc w:val="center"/>
      </w:pPr>
      <w:r>
        <w:rPr>
          <w:rFonts w:ascii="Arial" w:cs="Arial" w:eastAsia="Arial" w:hAnsi="Arial"/>
          <w:i/>
          <w:iCs/>
          <w:color w:val="6B7280"/>
          <w:sz w:val="16"/>
          <w:szCs w:val="16"/>
        </w:rPr>
        <w:t xml:space="preserve">For internal leadership and carrier prospect audiences only</w:t>
      </w:r>
    </w:p>
    <w:p>
      <w:r>
        <w:br w:type="page"/>
      </w:r>
    </w:p>
    <w:p>
      <w:pPr>
        <w:pStyle w:val="Heading1"/>
        <w:spacing w:before="360" w:after="200"/>
      </w:pPr>
      <w:r>
        <w:rPr>
          <w:rFonts w:ascii="Arial" w:cs="Arial" w:eastAsia="Arial" w:hAnsi="Arial"/>
          <w:b/>
          <w:bCs/>
          <w:color w:val="0F17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0F172A"/>
          <w:sz w:val="32"/>
          <w:szCs w:val="32"/>
        </w:rPr>
        <w:t xml:space="preserve">1. Executive Summary</w:t>
      </w:r>
    </w:p>
    <w:p>
      <w:pPr>
        <w:spacing w:after="120"/>
        <w:jc w:val="left"/>
      </w:pPr>
      <w:r>
        <w:rPr>
          <w:rFonts w:ascii="Arial" w:cs="Arial" w:eastAsia="Arial" w:hAnsi="Arial"/>
          <w:b w:val="false"/>
          <w:bCs w:val="false"/>
          <w:i w:val="false"/>
          <w:iCs w:val="false"/>
          <w:color w:val="374151"/>
          <w:sz w:val="20"/>
          <w:szCs w:val="20"/>
        </w:rPr>
        <w:t xml:space="preserve">This document is the comprehensive reference manual for the US Homeowners Risk Scoring Engine, a Streamlit-based business development demonstration application. The application showcases a production-ready risk scoring architecture that extends the industry-standard Generalized Linear Model (GLM) with a machine-learning-derived interaction multiplier layer called M̂ (M-hat).</w:t>
      </w:r>
    </w:p>
    <w:p>
      <w:pPr>
        <w:spacing w:after="120"/>
        <w:jc w:val="left"/>
      </w:pPr>
      <w:r>
        <w:rPr>
          <w:rFonts w:ascii="Arial" w:cs="Arial" w:eastAsia="Arial" w:hAnsi="Arial"/>
          <w:b w:val="false"/>
          <w:bCs w:val="false"/>
          <w:i w:val="false"/>
          <w:iCs w:val="false"/>
          <w:color w:val="374151"/>
          <w:sz w:val="20"/>
          <w:szCs w:val="20"/>
        </w:rPr>
        <w:t xml:space="preserve">The demo is designed for a mixed audience spanning internal VP-level leadership and external insurance carrier prospects. It operates entirely offline with synthetic data, requiring no API keys, authentication, or live external services.</w:t>
      </w:r>
    </w:p>
    <w:p>
      <w:pPr>
        <w:pStyle w:val="Heading2"/>
        <w:spacing w:before="300" w:after="160"/>
      </w:pPr>
      <w:r>
        <w:rPr>
          <w:rFonts w:ascii="Arial" w:cs="Arial" w:eastAsia="Arial" w:hAnsi="Arial"/>
          <w:b/>
          <w:bCs/>
          <w:color w:val="1D4ED8"/>
          <w:sz w:val="26"/>
          <w:szCs w:val="26"/>
        </w:rPr>
        <w:t xml:space="preserve">1.1 The Problem</w:t>
      </w:r>
    </w:p>
    <w:p>
      <w:pPr>
        <w:spacing w:after="120"/>
        <w:jc w:val="left"/>
      </w:pPr>
      <w:r>
        <w:rPr>
          <w:rFonts w:ascii="Arial" w:cs="Arial" w:eastAsia="Arial" w:hAnsi="Arial"/>
          <w:b w:val="false"/>
          <w:bCs w:val="false"/>
          <w:i w:val="false"/>
          <w:iCs w:val="false"/>
          <w:color w:val="374151"/>
          <w:sz w:val="20"/>
          <w:szCs w:val="20"/>
        </w:rPr>
        <w:t xml:space="preserve">Traditional homeowners insurance risk models use additive structures: each risk variable contributes independently to the final premium. A wood-shake roof adds its penalty. A high-wildfire zone adds its penalty. But the real-world risk of a wood-shake roof in a high-wildfire zone is not the sum of those penalties. Embers travel over a mile and ignite wood shake shingles at 572°F (versus 700°F for asphalt). The risk compounds super-multiplicatively. Standard GLMs, which sum risk factors via a linear predictor, systematically under-price these compound exposures.</w:t>
      </w:r>
    </w:p>
    <w:p>
      <w:pPr>
        <w:spacing w:after="120"/>
        <w:jc w:val="left"/>
      </w:pPr>
      <w:r>
        <w:rPr>
          <w:rFonts w:ascii="Arial" w:cs="Arial" w:eastAsia="Arial" w:hAnsi="Arial"/>
          <w:b w:val="false"/>
          <w:bCs w:val="false"/>
          <w:i w:val="false"/>
          <w:iCs w:val="false"/>
          <w:color w:val="374151"/>
          <w:sz w:val="20"/>
          <w:szCs w:val="20"/>
        </w:rPr>
        <w:t xml:space="preserve">This mispricing is not theoretical. US insured catastrophe losses reached $112.7 billion in 2024. Carriers exiting California, Florida, and Louisiana cite inability to adequately price compound wildfire, flood, and hurricane risks. The additive-model gap is an existential issue for the homeowners insurance market.</w:t>
      </w:r>
    </w:p>
    <w:p>
      <w:pPr>
        <w:pStyle w:val="Heading2"/>
        <w:spacing w:before="300" w:after="160"/>
      </w:pPr>
      <w:r>
        <w:rPr>
          <w:rFonts w:ascii="Arial" w:cs="Arial" w:eastAsia="Arial" w:hAnsi="Arial"/>
          <w:b/>
          <w:bCs/>
          <w:color w:val="1D4ED8"/>
          <w:sz w:val="26"/>
          <w:szCs w:val="26"/>
        </w:rPr>
        <w:t xml:space="preserve">1.2 The Solution</w:t>
      </w:r>
    </w:p>
    <w:p>
      <w:pPr>
        <w:spacing w:after="120"/>
        <w:jc w:val="left"/>
      </w:pPr>
      <w:r>
        <w:rPr>
          <w:rFonts w:ascii="Arial" w:cs="Arial" w:eastAsia="Arial" w:hAnsi="Arial"/>
          <w:b w:val="false"/>
          <w:bCs w:val="false"/>
          <w:i w:val="false"/>
          <w:iCs w:val="false"/>
          <w:color w:val="374151"/>
          <w:sz w:val="20"/>
          <w:szCs w:val="20"/>
        </w:rPr>
        <w:t xml:space="preserve">The application implements a three-component architecture:</w:t>
      </w:r>
    </w:p>
    <w:p>
      <w:pPr>
        <w:pStyle w:val="ListParagraph"/>
        <w:numPr>
          <w:ilvl w:val="0"/>
          <w:numId w:val="2"/>
        </w:numPr>
        <w:spacing w:after="80"/>
      </w:pPr>
      <w:r>
        <w:rPr>
          <w:rFonts w:ascii="Arial" w:cs="Arial" w:eastAsia="Arial" w:hAnsi="Arial"/>
          <w:b/>
          <w:bCs/>
          <w:color w:val="374151"/>
          <w:sz w:val="20"/>
          <w:szCs w:val="20"/>
        </w:rPr>
        <w:t xml:space="preserve">Tweedie GLM (Track 1): </w:t>
      </w:r>
      <w:r>
        <w:rPr>
          <w:rFonts w:ascii="Arial" w:cs="Arial" w:eastAsia="Arial" w:hAnsi="Arial"/>
          <w:color w:val="374151"/>
          <w:sz w:val="20"/>
          <w:szCs w:val="20"/>
        </w:rPr>
        <w:t xml:space="preserve">The regulatory gold standard. A single GLM with Tweedie distribution (p=1.65) produces the base pure premium estimate using Tier 1 and Tier 2 features. Every coefficient is a named rate relativity that can be filed with state Departments of Insurance.</w:t>
      </w:r>
    </w:p>
    <w:p>
      <w:pPr>
        <w:pStyle w:val="ListParagraph"/>
        <w:numPr>
          <w:ilvl w:val="0"/>
          <w:numId w:val="2"/>
        </w:numPr>
        <w:spacing w:after="80"/>
      </w:pPr>
      <w:r>
        <w:rPr>
          <w:rFonts w:ascii="Arial" w:cs="Arial" w:eastAsia="Arial" w:hAnsi="Arial"/>
          <w:b/>
          <w:bCs/>
          <w:color w:val="374151"/>
          <w:sz w:val="20"/>
          <w:szCs w:val="20"/>
        </w:rPr>
        <w:t xml:space="preserve">M̂ Interaction Ensemble (Track 2): </w:t>
      </w:r>
      <w:r>
        <w:rPr>
          <w:rFonts w:ascii="Arial" w:cs="Arial" w:eastAsia="Arial" w:hAnsi="Arial"/>
          <w:color w:val="374151"/>
          <w:sz w:val="20"/>
          <w:szCs w:val="20"/>
        </w:rPr>
        <w:t xml:space="preserve">A stacked ensemble (Random Forest + XGBoost + LightGBM → Isotonic Regression meta-learner) trained on the GLM’s own residuals. It learns which compound-peril co-exposures the GLM systematically under-prices. M̂ is a multiplicative adjustment: final E[L] = GLM_prediction × M̂.</w:t>
      </w:r>
    </w:p>
    <w:p>
      <w:pPr>
        <w:pStyle w:val="ListParagraph"/>
        <w:numPr>
          <w:ilvl w:val="0"/>
          <w:numId w:val="2"/>
        </w:numPr>
        <w:spacing w:after="80"/>
      </w:pPr>
      <w:r>
        <w:rPr>
          <w:rFonts w:ascii="Arial" w:cs="Arial" w:eastAsia="Arial" w:hAnsi="Arial"/>
          <w:b/>
          <w:bCs/>
          <w:color w:val="374151"/>
          <w:sz w:val="20"/>
          <w:szCs w:val="20"/>
        </w:rPr>
        <w:t xml:space="preserve">Three-Tier Feature Framework: </w:t>
      </w:r>
      <w:r>
        <w:rPr>
          <w:rFonts w:ascii="Arial" w:cs="Arial" w:eastAsia="Arial" w:hAnsi="Arial"/>
          <w:color w:val="374151"/>
          <w:sz w:val="20"/>
          <w:szCs w:val="20"/>
        </w:rPr>
        <w:t xml:space="preserve">25 variables organised into Tier 1 (property and structural, 60% of variance), Tier 2 (behavioural and secondary, 20%), and Tier 3 (hazard interactions, 12%). The remaining 8% is irreducible noise.</w:t>
      </w:r>
    </w:p>
    <w:p>
      <w:pPr>
        <w:pStyle w:val="Heading2"/>
        <w:spacing w:before="300" w:after="160"/>
      </w:pPr>
      <w:r>
        <w:rPr>
          <w:rFonts w:ascii="Arial" w:cs="Arial" w:eastAsia="Arial" w:hAnsi="Arial"/>
          <w:b/>
          <w:bCs/>
          <w:color w:val="1D4ED8"/>
          <w:sz w:val="26"/>
          <w:szCs w:val="26"/>
        </w:rPr>
        <w:t xml:space="preserve">1.3 Key Metrics</w:t>
      </w:r>
    </w:p>
    <w:p>
      <w:pPr>
        <w:spacing w:after="120"/>
        <w:jc w:val="left"/>
      </w:pPr>
      <w:r>
        <w:rPr>
          <w:rFonts w:ascii="Arial" w:cs="Arial" w:eastAsia="Arial" w:hAnsi="Arial"/>
          <w:b w:val="false"/>
          <w:bCs w:val="false"/>
          <w:i w:val="false"/>
          <w:iCs w:val="false"/>
          <w:color w:val="374151"/>
          <w:sz w:val="20"/>
          <w:szCs w:val="20"/>
        </w:rPr>
        <w:t xml:space="preserve">The demo surfaces the following validated metrics from the training pipeline:</w:t>
      </w:r>
    </w:p>
    <w:p>
      <w:pPr>
        <w:pStyle w:val="ListParagraph"/>
        <w:numPr>
          <w:ilvl w:val="0"/>
          <w:numId w:val="2"/>
        </w:numPr>
        <w:spacing w:after="80"/>
      </w:pPr>
      <w:r>
        <w:rPr>
          <w:rFonts w:ascii="Arial" w:cs="Arial" w:eastAsia="Arial" w:hAnsi="Arial"/>
          <w:b/>
          <w:bCs/>
          <w:color w:val="374151"/>
          <w:sz w:val="20"/>
          <w:szCs w:val="20"/>
        </w:rPr>
        <w:t xml:space="preserve">R² improvement: </w:t>
      </w:r>
      <w:r>
        <w:rPr>
          <w:rFonts w:ascii="Arial" w:cs="Arial" w:eastAsia="Arial" w:hAnsi="Arial"/>
          <w:color w:val="374151"/>
          <w:sz w:val="20"/>
          <w:szCs w:val="20"/>
        </w:rPr>
        <w:t xml:space="preserve">Tier 1+2 GLM achieves R² ≈ 0.80. Adding Tier 3 interactions via M̂ pushes R² to ≈0.92, a +12 percentage point gain.</w:t>
      </w:r>
    </w:p>
    <w:p>
      <w:pPr>
        <w:pStyle w:val="ListParagraph"/>
        <w:numPr>
          <w:ilvl w:val="0"/>
          <w:numId w:val="2"/>
        </w:numPr>
        <w:spacing w:after="80"/>
      </w:pPr>
      <w:r>
        <w:rPr>
          <w:rFonts w:ascii="Arial" w:cs="Arial" w:eastAsia="Arial" w:hAnsi="Arial"/>
          <w:b/>
          <w:bCs/>
          <w:color w:val="374151"/>
          <w:sz w:val="20"/>
          <w:szCs w:val="20"/>
        </w:rPr>
        <w:t xml:space="preserve">Portfolio reclassification: </w:t>
      </w:r>
      <w:r>
        <w:rPr>
          <w:rFonts w:ascii="Arial" w:cs="Arial" w:eastAsia="Arial" w:hAnsi="Arial"/>
          <w:color w:val="374151"/>
          <w:sz w:val="20"/>
          <w:szCs w:val="20"/>
        </w:rPr>
        <w:t xml:space="preserve">22–25% of policies change risk tier when M̂ is applied, revealing hidden dangers and hidden gems invisible to the base GLM.</w:t>
      </w:r>
    </w:p>
    <w:p>
      <w:pPr>
        <w:pStyle w:val="ListParagraph"/>
        <w:numPr>
          <w:ilvl w:val="0"/>
          <w:numId w:val="2"/>
        </w:numPr>
        <w:spacing w:after="80"/>
      </w:pPr>
      <w:r>
        <w:rPr>
          <w:rFonts w:ascii="Arial" w:cs="Arial" w:eastAsia="Arial" w:hAnsi="Arial"/>
          <w:b/>
          <w:bCs/>
          <w:color w:val="374151"/>
          <w:sz w:val="20"/>
          <w:szCs w:val="20"/>
        </w:rPr>
        <w:t xml:space="preserve">Loss ratio improvement: </w:t>
      </w:r>
      <w:r>
        <w:rPr>
          <w:rFonts w:ascii="Arial" w:cs="Arial" w:eastAsia="Arial" w:hAnsi="Arial"/>
          <w:color w:val="374151"/>
          <w:sz w:val="20"/>
          <w:szCs w:val="20"/>
        </w:rPr>
        <w:t xml:space="preserve">2–3 points on target loss ratio, translating to $5–$7.5M annual savings on a $250M book.</w:t>
      </w:r>
    </w:p>
    <w:p>
      <w:pPr>
        <w:pStyle w:val="ListParagraph"/>
        <w:numPr>
          <w:ilvl w:val="0"/>
          <w:numId w:val="2"/>
        </w:numPr>
        <w:spacing w:after="80"/>
      </w:pPr>
      <w:r>
        <w:rPr>
          <w:rFonts w:ascii="Arial" w:cs="Arial" w:eastAsia="Arial" w:hAnsi="Arial"/>
          <w:b/>
          <w:bCs/>
          <w:color w:val="374151"/>
          <w:sz w:val="20"/>
          <w:szCs w:val="20"/>
        </w:rPr>
        <w:t xml:space="preserve">Underwriting speed: </w:t>
      </w:r>
      <w:r>
        <w:rPr>
          <w:rFonts w:ascii="Arial" w:cs="Arial" w:eastAsia="Arial" w:hAnsi="Arial"/>
          <w:color w:val="374151"/>
          <w:sz w:val="20"/>
          <w:szCs w:val="20"/>
        </w:rPr>
        <w:t xml:space="preserve">Scoring completes in under 2 seconds per policy (demo) versus 45 minutes for manual underwriting, representing a 25× capacity gain.</w:t>
      </w:r>
    </w:p>
    <w:p>
      <w:pPr>
        <w:pStyle w:val="Heading2"/>
        <w:spacing w:before="300" w:after="160"/>
      </w:pPr>
      <w:r>
        <w:rPr>
          <w:rFonts w:ascii="Arial" w:cs="Arial" w:eastAsia="Arial" w:hAnsi="Arial"/>
          <w:b/>
          <w:bCs/>
          <w:color w:val="1D4ED8"/>
          <w:sz w:val="26"/>
          <w:szCs w:val="26"/>
        </w:rPr>
        <w:t xml:space="preserve">1.4 Target Audience</w:t>
      </w:r>
    </w:p>
    <w:p>
      <w:pPr>
        <w:spacing w:after="120"/>
        <w:jc w:val="left"/>
      </w:pPr>
      <w:r>
        <w:rPr>
          <w:rFonts w:ascii="Arial" w:cs="Arial" w:eastAsia="Arial" w:hAnsi="Arial"/>
          <w:b w:val="false"/>
          <w:bCs w:val="false"/>
          <w:i w:val="false"/>
          <w:iCs w:val="false"/>
          <w:color w:val="374151"/>
          <w:sz w:val="20"/>
          <w:szCs w:val="20"/>
        </w:rPr>
        <w:t xml:space="preserve">This manual serves readers across the technical-to-business spectrum:</w:t>
      </w:r>
    </w:p>
    <w:p>
      <w:pPr>
        <w:pStyle w:val="ListParagraph"/>
        <w:numPr>
          <w:ilvl w:val="0"/>
          <w:numId w:val="2"/>
        </w:numPr>
        <w:spacing w:after="80"/>
      </w:pPr>
      <w:r>
        <w:rPr>
          <w:rFonts w:ascii="Arial" w:cs="Arial" w:eastAsia="Arial" w:hAnsi="Arial"/>
          <w:b/>
          <w:bCs/>
          <w:color w:val="374151"/>
          <w:sz w:val="20"/>
          <w:szCs w:val="20"/>
        </w:rPr>
        <w:t xml:space="preserve">Chief Actuaries and Data Scientists: </w:t>
      </w:r>
      <w:r>
        <w:rPr>
          <w:rFonts w:ascii="Arial" w:cs="Arial" w:eastAsia="Arial" w:hAnsi="Arial"/>
          <w:color w:val="374151"/>
          <w:sz w:val="20"/>
          <w:szCs w:val="20"/>
        </w:rPr>
        <w:t xml:space="preserve">Sections 2–4 provide the mathematical foundation, distribution theory, and validation methodology at peer-review depth.</w:t>
      </w:r>
    </w:p>
    <w:p>
      <w:pPr>
        <w:pStyle w:val="ListParagraph"/>
        <w:numPr>
          <w:ilvl w:val="0"/>
          <w:numId w:val="2"/>
        </w:numPr>
        <w:spacing w:after="80"/>
      </w:pPr>
      <w:r>
        <w:rPr>
          <w:rFonts w:ascii="Arial" w:cs="Arial" w:eastAsia="Arial" w:hAnsi="Arial"/>
          <w:b/>
          <w:bCs/>
          <w:color w:val="374151"/>
          <w:sz w:val="20"/>
          <w:szCs w:val="20"/>
        </w:rPr>
        <w:t xml:space="preserve">VP Underwriting and Product Leaders: </w:t>
      </w:r>
      <w:r>
        <w:rPr>
          <w:rFonts w:ascii="Arial" w:cs="Arial" w:eastAsia="Arial" w:hAnsi="Arial"/>
          <w:color w:val="374151"/>
          <w:sz w:val="20"/>
          <w:szCs w:val="20"/>
        </w:rPr>
        <w:t xml:space="preserve">Sections 2–3 cover the competitive landscape and business rationale at a strategic level.</w:t>
      </w:r>
    </w:p>
    <w:p>
      <w:pPr>
        <w:pStyle w:val="ListParagraph"/>
        <w:numPr>
          <w:ilvl w:val="0"/>
          <w:numId w:val="2"/>
        </w:numPr>
        <w:spacing w:after="80"/>
      </w:pPr>
      <w:r>
        <w:rPr>
          <w:rFonts w:ascii="Arial" w:cs="Arial" w:eastAsia="Arial" w:hAnsi="Arial"/>
          <w:b/>
          <w:bCs/>
          <w:color w:val="374151"/>
          <w:sz w:val="20"/>
          <w:szCs w:val="20"/>
        </w:rPr>
        <w:t xml:space="preserve">Business Development and Sales: </w:t>
      </w:r>
      <w:r>
        <w:rPr>
          <w:rFonts w:ascii="Arial" w:cs="Arial" w:eastAsia="Arial" w:hAnsi="Arial"/>
          <w:color w:val="374151"/>
          <w:sz w:val="20"/>
          <w:szCs w:val="20"/>
        </w:rPr>
        <w:t xml:space="preserve">Section 5 provides the tab-by-tab walkthrough for live demo delivery.</w:t>
      </w:r>
    </w:p>
    <w:p>
      <w:pPr>
        <w:pStyle w:val="ListParagraph"/>
        <w:numPr>
          <w:ilvl w:val="0"/>
          <w:numId w:val="2"/>
        </w:numPr>
        <w:spacing w:after="80"/>
      </w:pPr>
      <w:r>
        <w:rPr>
          <w:rFonts w:ascii="Arial" w:cs="Arial" w:eastAsia="Arial" w:hAnsi="Arial"/>
          <w:b/>
          <w:bCs/>
          <w:color w:val="374151"/>
          <w:sz w:val="20"/>
          <w:szCs w:val="20"/>
        </w:rPr>
        <w:t xml:space="preserve">Engineering and Implementation Teams: </w:t>
      </w:r>
      <w:r>
        <w:rPr>
          <w:rFonts w:ascii="Arial" w:cs="Arial" w:eastAsia="Arial" w:hAnsi="Arial"/>
          <w:color w:val="374151"/>
          <w:sz w:val="20"/>
          <w:szCs w:val="20"/>
        </w:rPr>
        <w:t xml:space="preserve">Section 5 details every UI component, data flow, and configuration parameter for integration planning.</w:t>
      </w:r>
    </w:p>
    <w:p>
      <w:r>
        <w:br w:type="page"/>
      </w:r>
    </w:p>
    <w:p>
      <w:pPr>
        <w:pStyle w:val="Heading1"/>
        <w:spacing w:before="360" w:after="200"/>
      </w:pPr>
      <w:r>
        <w:rPr>
          <w:rFonts w:ascii="Arial" w:cs="Arial" w:eastAsia="Arial" w:hAnsi="Arial"/>
          <w:b/>
          <w:bCs/>
          <w:color w:val="0F172A"/>
          <w:sz w:val="32"/>
          <w:szCs w:val="32"/>
        </w:rPr>
        <w:t xml:space="preserve">2. Industry Gold Standard: How Carriers Score Risk Today</w:t>
      </w:r>
    </w:p>
    <w:p>
      <w:pPr>
        <w:spacing w:after="120"/>
        <w:jc w:val="left"/>
      </w:pPr>
      <w:r>
        <w:rPr>
          <w:rFonts w:ascii="Arial" w:cs="Arial" w:eastAsia="Arial" w:hAnsi="Arial"/>
          <w:b w:val="false"/>
          <w:bCs w:val="false"/>
          <w:i w:val="false"/>
          <w:iCs w:val="false"/>
          <w:color w:val="374151"/>
          <w:sz w:val="20"/>
          <w:szCs w:val="20"/>
        </w:rPr>
        <w:t xml:space="preserve">Understanding the current baseline is essential for appreciating what the interaction-effect architecture adds. This section covers the actuarial and statistical foundations that the demo extends, not replaces.</w:t>
      </w:r>
    </w:p>
    <w:p>
      <w:pPr>
        <w:pStyle w:val="Heading2"/>
        <w:spacing w:before="300" w:after="160"/>
      </w:pPr>
      <w:r>
        <w:rPr>
          <w:rFonts w:ascii="Arial" w:cs="Arial" w:eastAsia="Arial" w:hAnsi="Arial"/>
          <w:b/>
          <w:bCs/>
          <w:color w:val="1D4ED8"/>
          <w:sz w:val="26"/>
          <w:szCs w:val="26"/>
        </w:rPr>
        <w:t xml:space="preserve">2.1 The Generalized Linear Model (GLM)</w:t>
      </w:r>
    </w:p>
    <w:p>
      <w:pPr>
        <w:spacing w:after="120"/>
        <w:jc w:val="left"/>
      </w:pPr>
      <w:r>
        <w:rPr>
          <w:rFonts w:ascii="Arial" w:cs="Arial" w:eastAsia="Arial" w:hAnsi="Arial"/>
          <w:b w:val="false"/>
          <w:bCs w:val="false"/>
          <w:i w:val="false"/>
          <w:iCs w:val="false"/>
          <w:color w:val="374151"/>
          <w:sz w:val="20"/>
          <w:szCs w:val="20"/>
        </w:rPr>
        <w:t xml:space="preserve">The GLM is the dominant modeling framework in personal lines insurance pricing. It was formalised by Nelder and Wedderburn (1972) and has been the actuarial profession’s standard tool since the 1990s. The CAS Monograph No. 5 (2nd Edition, 2025) covers it as the canonical reference.</w:t>
      </w:r>
    </w:p>
    <w:p>
      <w:pPr>
        <w:spacing w:after="120"/>
        <w:jc w:val="left"/>
      </w:pPr>
      <w:r>
        <w:rPr>
          <w:rFonts w:ascii="Arial" w:cs="Arial" w:eastAsia="Arial" w:hAnsi="Arial"/>
          <w:b w:val="false"/>
          <w:bCs w:val="false"/>
          <w:i w:val="false"/>
          <w:iCs w:val="false"/>
          <w:color w:val="374151"/>
          <w:sz w:val="20"/>
          <w:szCs w:val="20"/>
        </w:rPr>
        <w:t xml:space="preserve">A GLM has three components:</w:t>
      </w:r>
    </w:p>
    <w:p>
      <w:pPr>
        <w:pStyle w:val="ListParagraph"/>
        <w:numPr>
          <w:ilvl w:val="0"/>
          <w:numId w:val="3"/>
        </w:numPr>
        <w:spacing w:after="80"/>
      </w:pPr>
      <w:r>
        <w:rPr>
          <w:rFonts w:ascii="Arial" w:cs="Arial" w:eastAsia="Arial" w:hAnsi="Arial"/>
          <w:color w:val="374151"/>
          <w:sz w:val="20"/>
          <w:szCs w:val="20"/>
        </w:rPr>
        <w:t xml:space="preserve">A random component specifying the distribution of the response variable (claim amounts). For homeowners insurance, this is typically the Tweedie compound Poisson-Gamma distribution.</w:t>
      </w:r>
    </w:p>
    <w:p>
      <w:pPr>
        <w:pStyle w:val="ListParagraph"/>
        <w:numPr>
          <w:ilvl w:val="0"/>
          <w:numId w:val="3"/>
        </w:numPr>
        <w:spacing w:after="80"/>
      </w:pPr>
      <w:r>
        <w:rPr>
          <w:rFonts w:ascii="Arial" w:cs="Arial" w:eastAsia="Arial" w:hAnsi="Arial"/>
          <w:color w:val="374151"/>
          <w:sz w:val="20"/>
          <w:szCs w:val="20"/>
        </w:rPr>
        <w:t xml:space="preserve">A systematic component — the linear predictor η = β0 + β1·x1 + β2·x2 + … + βn·xn — which sums the weighted contributions of all features.</w:t>
      </w:r>
    </w:p>
    <w:p>
      <w:pPr>
        <w:pStyle w:val="ListParagraph"/>
        <w:numPr>
          <w:ilvl w:val="0"/>
          <w:numId w:val="3"/>
        </w:numPr>
        <w:spacing w:after="80"/>
      </w:pPr>
      <w:r>
        <w:rPr>
          <w:rFonts w:ascii="Arial" w:cs="Arial" w:eastAsia="Arial" w:hAnsi="Arial"/>
          <w:color w:val="374151"/>
          <w:sz w:val="20"/>
          <w:szCs w:val="20"/>
        </w:rPr>
        <w:t xml:space="preserve">A link function connecting the expected value of the response to the linear predictor. For insurance, the log link g(μ) = log(μ) is standard because it produces a multiplicative rating structure: each exp(βj) is a rate relativity.</w:t>
      </w:r>
    </w:p>
    <w:p>
      <w:pPr>
        <w:spacing w:after="120"/>
        <w:jc w:val="left"/>
      </w:pPr>
      <w:r>
        <w:rPr>
          <w:rFonts w:ascii="Arial" w:cs="Arial" w:eastAsia="Arial" w:hAnsi="Arial"/>
          <w:b w:val="false"/>
          <w:bCs w:val="false"/>
          <w:i w:val="false"/>
          <w:iCs w:val="false"/>
          <w:color w:val="374151"/>
          <w:sz w:val="20"/>
          <w:szCs w:val="20"/>
        </w:rPr>
        <w:t xml:space="preserve">The log link is the critical design choice. It means the model’s prediction is:</w:t>
      </w:r>
    </w:p>
    <w:p>
      <w:pPr>
        <w:spacing w:before="120" w:after="120"/>
        <w:ind w:left="720"/>
      </w:pPr>
      <w:r>
        <w:rPr>
          <w:rFonts w:ascii="Courier New" w:cs="Courier New" w:eastAsia="Courier New" w:hAnsi="Courier New"/>
          <w:b/>
          <w:bCs/>
          <w:color w:val="92400E"/>
          <w:sz w:val="20"/>
          <w:szCs w:val="20"/>
        </w:rPr>
        <w:t xml:space="preserve">μ = exp(β0) × exp(β1·x1) × exp(β2·x2) × … × exp(βn·xn)</w:t>
      </w:r>
    </w:p>
    <w:p>
      <w:pPr>
        <w:spacing w:after="120"/>
        <w:jc w:val="left"/>
      </w:pPr>
      <w:r>
        <w:rPr>
          <w:rFonts w:ascii="Arial" w:cs="Arial" w:eastAsia="Arial" w:hAnsi="Arial"/>
          <w:b w:val="false"/>
          <w:bCs w:val="false"/>
          <w:i w:val="false"/>
          <w:iCs w:val="false"/>
          <w:color w:val="374151"/>
          <w:sz w:val="20"/>
          <w:szCs w:val="20"/>
        </w:rPr>
        <w:t xml:space="preserve">Each factor exp(βj·xj) is a multiplicative relativity. A coefficient of 0.30 means that feature multiplies expected loss by exp(0.30) ≈ 1.35 — a 35% surcharge. This structure maps directly to the multiplicative rating plans that state DOIs universally accept.</w:t>
      </w:r>
    </w:p>
    <w:p>
      <w:pPr>
        <w:pStyle w:val="Heading2"/>
        <w:spacing w:before="300" w:after="160"/>
      </w:pPr>
      <w:r>
        <w:rPr>
          <w:rFonts w:ascii="Arial" w:cs="Arial" w:eastAsia="Arial" w:hAnsi="Arial"/>
          <w:b/>
          <w:bCs/>
          <w:color w:val="1D4ED8"/>
          <w:sz w:val="26"/>
          <w:szCs w:val="26"/>
        </w:rPr>
        <w:t xml:space="preserve">2.2 The Tweedie Distribution</w:t>
      </w:r>
    </w:p>
    <w:p>
      <w:pPr>
        <w:spacing w:after="120"/>
        <w:jc w:val="left"/>
      </w:pPr>
      <w:r>
        <w:rPr>
          <w:rFonts w:ascii="Arial" w:cs="Arial" w:eastAsia="Arial" w:hAnsi="Arial"/>
          <w:b w:val="false"/>
          <w:bCs w:val="false"/>
          <w:i w:val="false"/>
          <w:iCs w:val="false"/>
          <w:color w:val="374151"/>
          <w:sz w:val="20"/>
          <w:szCs w:val="20"/>
        </w:rPr>
        <w:t xml:space="preserve">The Tweedie distribution is uniquely suited to insurance loss data because it natively handles the defining characteristic: a point mass at zero (no claim, approximately 94–95% of homeowner policies in any year) combined with a continuous positive distribution (claim amounts for the 5–6% that do claim).</w:t>
      </w:r>
    </w:p>
    <w:p>
      <w:pPr>
        <w:spacing w:after="120"/>
        <w:jc w:val="left"/>
      </w:pPr>
      <w:r>
        <w:rPr>
          <w:rFonts w:ascii="Arial" w:cs="Arial" w:eastAsia="Arial" w:hAnsi="Arial"/>
          <w:b w:val="false"/>
          <w:bCs w:val="false"/>
          <w:i w:val="false"/>
          <w:iCs w:val="false"/>
          <w:color w:val="374151"/>
          <w:sz w:val="20"/>
          <w:szCs w:val="20"/>
        </w:rPr>
        <w:t xml:space="preserve">Mathematically, the Tweedie with power parameter p ∈ (1, 2) is a compound Poisson-Gamma:</w:t>
      </w:r>
    </w:p>
    <w:p>
      <w:pPr>
        <w:pStyle w:val="ListParagraph"/>
        <w:numPr>
          <w:ilvl w:val="0"/>
          <w:numId w:val="2"/>
        </w:numPr>
        <w:spacing w:after="80"/>
      </w:pPr>
      <w:r>
        <w:rPr>
          <w:rFonts w:ascii="Arial" w:cs="Arial" w:eastAsia="Arial" w:hAnsi="Arial"/>
          <w:b/>
          <w:bCs/>
          <w:color w:val="374151"/>
          <w:sz w:val="20"/>
          <w:szCs w:val="20"/>
        </w:rPr>
        <w:t xml:space="preserve">N claims </w:t>
      </w:r>
      <w:r>
        <w:rPr>
          <w:rFonts w:ascii="Arial" w:cs="Arial" w:eastAsia="Arial" w:hAnsi="Arial"/>
          <w:color w:val="374151"/>
          <w:sz w:val="20"/>
          <w:szCs w:val="20"/>
        </w:rPr>
        <w:t xml:space="preserve">arrive via Poisson(λ), where λ is the claim frequency.</w:t>
      </w:r>
    </w:p>
    <w:p>
      <w:pPr>
        <w:pStyle w:val="ListParagraph"/>
        <w:numPr>
          <w:ilvl w:val="0"/>
          <w:numId w:val="2"/>
        </w:numPr>
        <w:spacing w:after="80"/>
      </w:pPr>
      <w:r>
        <w:rPr>
          <w:rFonts w:ascii="Arial" w:cs="Arial" w:eastAsia="Arial" w:hAnsi="Arial"/>
          <w:b/>
          <w:bCs/>
          <w:color w:val="374151"/>
          <w:sz w:val="20"/>
          <w:szCs w:val="20"/>
        </w:rPr>
        <w:t xml:space="preserve">Each claim Zi </w:t>
      </w:r>
      <w:r>
        <w:rPr>
          <w:rFonts w:ascii="Arial" w:cs="Arial" w:eastAsia="Arial" w:hAnsi="Arial"/>
          <w:color w:val="374151"/>
          <w:sz w:val="20"/>
          <w:szCs w:val="20"/>
        </w:rPr>
        <w:t xml:space="preserve">has Gamma(α, β) severity.</w:t>
      </w:r>
    </w:p>
    <w:p>
      <w:pPr>
        <w:pStyle w:val="ListParagraph"/>
        <w:numPr>
          <w:ilvl w:val="0"/>
          <w:numId w:val="2"/>
        </w:numPr>
        <w:spacing w:after="80"/>
      </w:pPr>
      <w:r>
        <w:rPr>
          <w:rFonts w:ascii="Arial" w:cs="Arial" w:eastAsia="Arial" w:hAnsi="Arial"/>
          <w:b/>
          <w:bCs/>
          <w:color w:val="374151"/>
          <w:sz w:val="20"/>
          <w:szCs w:val="20"/>
        </w:rPr>
        <w:t xml:space="preserve">Total loss Y = ΣZi. </w:t>
      </w:r>
      <w:r>
        <w:rPr>
          <w:rFonts w:ascii="Arial" w:cs="Arial" w:eastAsia="Arial" w:hAnsi="Arial"/>
          <w:color w:val="374151"/>
          <w:sz w:val="20"/>
          <w:szCs w:val="20"/>
        </w:rPr>
        <w:t xml:space="preserve">When N = 0, Y = 0 automatically with probability exp(−λ).</w:t>
      </w:r>
    </w:p>
    <w:p>
      <w:pPr>
        <w:spacing w:after="120"/>
        <w:jc w:val="left"/>
      </w:pPr>
      <w:r>
        <w:rPr>
          <w:rFonts w:ascii="Arial" w:cs="Arial" w:eastAsia="Arial" w:hAnsi="Arial"/>
          <w:b w:val="false"/>
          <w:bCs w:val="false"/>
          <w:i w:val="false"/>
          <w:iCs w:val="false"/>
          <w:color w:val="374151"/>
          <w:sz w:val="20"/>
          <w:szCs w:val="20"/>
        </w:rPr>
        <w:t xml:space="preserve">The variance function is Var[Y] = φ · μ^p, where φ is the dispersion parameter. For homeowners insurance, the power parameter p typically falls between 1.5 and 1.7, estimated via profile likelihood grid search. The demo uses p = 1.65.</w:t>
      </w:r>
    </w:p>
    <w:p>
      <w:pPr>
        <w:shd w:fill="EFF6FF" w:val="clear"/>
        <w:spacing w:before="80" w:after="120"/>
        <w:ind w:left="360"/>
      </w:pPr>
      <w:r>
        <w:rPr>
          <w:rFonts w:ascii="Arial" w:cs="Arial" w:eastAsia="Arial" w:hAnsi="Arial"/>
          <w:i/>
          <w:iCs/>
          <w:color w:val="1D4ED8"/>
          <w:sz w:val="18"/>
          <w:szCs w:val="18"/>
        </w:rPr>
        <w:t xml:space="preserve">Business intuition: The Tweedie elegantly captures that most policies generate zero loss, while the few that do claim produce highly variable amounts. A single model handles both phenomena — no need for separate frequency and severity models in the base layer.</w:t>
      </w:r>
    </w:p>
    <w:p>
      <w:pPr>
        <w:pStyle w:val="Heading2"/>
        <w:spacing w:before="300" w:after="160"/>
      </w:pPr>
      <w:r>
        <w:rPr>
          <w:rFonts w:ascii="Arial" w:cs="Arial" w:eastAsia="Arial" w:hAnsi="Arial"/>
          <w:b/>
          <w:bCs/>
          <w:color w:val="1D4ED8"/>
          <w:sz w:val="26"/>
          <w:szCs w:val="26"/>
        </w:rPr>
        <w:t xml:space="preserve">2.3 How Carriers Currently Operate</w:t>
      </w:r>
    </w:p>
    <w:p>
      <w:pPr>
        <w:spacing w:after="120"/>
        <w:jc w:val="left"/>
      </w:pPr>
      <w:r>
        <w:rPr>
          <w:rFonts w:ascii="Arial" w:cs="Arial" w:eastAsia="Arial" w:hAnsi="Arial"/>
          <w:b w:val="false"/>
          <w:bCs w:val="false"/>
          <w:i w:val="false"/>
          <w:iCs w:val="false"/>
          <w:color w:val="374151"/>
          <w:sz w:val="20"/>
          <w:szCs w:val="20"/>
        </w:rPr>
        <w:t xml:space="preserve">The typical US homeowners carrier pricing pipeline has five stages:</w:t>
      </w:r>
    </w:p>
    <w:p>
      <w:pPr>
        <w:pStyle w:val="ListParagraph"/>
        <w:numPr>
          <w:ilvl w:val="0"/>
          <w:numId w:val="4"/>
        </w:numPr>
        <w:spacing w:after="80"/>
      </w:pPr>
      <w:r>
        <w:rPr>
          <w:rFonts w:ascii="Arial" w:cs="Arial" w:eastAsia="Arial" w:hAnsi="Arial"/>
          <w:color w:val="374151"/>
          <w:sz w:val="20"/>
          <w:szCs w:val="20"/>
        </w:rPr>
        <w:t xml:space="preserve">Data ingestion: Address-level enrichment from vendors such as CoreLogic/Cotality (4.5B property records), HazardHub/Guidewire (1,250+ data points per address), CAPE Analytics/Moody’s (roof condition, trusted by 50%+ of top carriers), and ZestyAI (Z-FIRE, Z-HAIL, Z-WIND scores).</w:t>
      </w:r>
    </w:p>
    <w:p>
      <w:pPr>
        <w:pStyle w:val="ListParagraph"/>
        <w:numPr>
          <w:ilvl w:val="0"/>
          <w:numId w:val="4"/>
        </w:numPr>
        <w:spacing w:after="80"/>
      </w:pPr>
      <w:r>
        <w:rPr>
          <w:rFonts w:ascii="Arial" w:cs="Arial" w:eastAsia="Arial" w:hAnsi="Arial"/>
          <w:color w:val="374151"/>
          <w:sz w:val="20"/>
          <w:szCs w:val="20"/>
        </w:rPr>
        <w:t xml:space="preserve">Feature engineering: Raw vendor data is normalised into rating variables. Most carriers use 12–20 variables. Legacy models may use as few as 8.</w:t>
      </w:r>
    </w:p>
    <w:p>
      <w:pPr>
        <w:pStyle w:val="ListParagraph"/>
        <w:numPr>
          <w:ilvl w:val="0"/>
          <w:numId w:val="4"/>
        </w:numPr>
        <w:spacing w:after="80"/>
      </w:pPr>
      <w:r>
        <w:rPr>
          <w:rFonts w:ascii="Arial" w:cs="Arial" w:eastAsia="Arial" w:hAnsi="Arial"/>
          <w:color w:val="374151"/>
          <w:sz w:val="20"/>
          <w:szCs w:val="20"/>
        </w:rPr>
        <w:t xml:space="preserve">Model scoring: GLM produces per-policy pure premium estimates. Some carriers run parallel GBM/XGBoost models for validation, but the GLM is the filed model.</w:t>
      </w:r>
    </w:p>
    <w:p>
      <w:pPr>
        <w:pStyle w:val="ListParagraph"/>
        <w:numPr>
          <w:ilvl w:val="0"/>
          <w:numId w:val="4"/>
        </w:numPr>
        <w:spacing w:after="80"/>
      </w:pPr>
      <w:r>
        <w:rPr>
          <w:rFonts w:ascii="Arial" w:cs="Arial" w:eastAsia="Arial" w:hAnsi="Arial"/>
          <w:color w:val="374151"/>
          <w:sz w:val="20"/>
          <w:szCs w:val="20"/>
        </w:rPr>
        <w:t xml:space="preserve">Decision engine: Submissions are triaged into auto-bind (70–85%), manual review (10–20%), and auto-decline (5–10%) based on risk score thresholds and confidence levels.</w:t>
      </w:r>
    </w:p>
    <w:p>
      <w:pPr>
        <w:pStyle w:val="ListParagraph"/>
        <w:numPr>
          <w:ilvl w:val="0"/>
          <w:numId w:val="4"/>
        </w:numPr>
        <w:spacing w:after="80"/>
      </w:pPr>
      <w:r>
        <w:rPr>
          <w:rFonts w:ascii="Arial" w:cs="Arial" w:eastAsia="Arial" w:hAnsi="Arial"/>
          <w:color w:val="374151"/>
          <w:sz w:val="20"/>
          <w:szCs w:val="20"/>
        </w:rPr>
        <w:t xml:space="preserve">Underwriter dashboard: Manual reviews see risk score headline, peril-level breakdown, aerial imagery, premium decomposition waterfall, and recommended actions.</w:t>
      </w:r>
    </w:p>
    <w:p>
      <w:pPr>
        <w:pStyle w:val="Heading2"/>
        <w:spacing w:before="300" w:after="160"/>
      </w:pPr>
      <w:r>
        <w:rPr>
          <w:rFonts w:ascii="Arial" w:cs="Arial" w:eastAsia="Arial" w:hAnsi="Arial"/>
          <w:b/>
          <w:bCs/>
          <w:color w:val="1D4ED8"/>
          <w:sz w:val="26"/>
          <w:szCs w:val="26"/>
        </w:rPr>
        <w:t xml:space="preserve">2.4 The Additive Limitation</w:t>
      </w:r>
    </w:p>
    <w:p>
      <w:pPr>
        <w:spacing w:after="120"/>
        <w:jc w:val="left"/>
      </w:pPr>
      <w:r>
        <w:rPr>
          <w:rFonts w:ascii="Arial" w:cs="Arial" w:eastAsia="Arial" w:hAnsi="Arial"/>
          <w:b w:val="false"/>
          <w:bCs w:val="false"/>
          <w:i w:val="false"/>
          <w:iCs w:val="false"/>
          <w:color w:val="374151"/>
          <w:sz w:val="20"/>
          <w:szCs w:val="20"/>
        </w:rPr>
        <w:t xml:space="preserve">The fundamental constraint of the standard GLM is that its linear predictor is additive. Each feature contributes independently:</w:t>
      </w:r>
    </w:p>
    <w:p>
      <w:pPr>
        <w:spacing w:before="120" w:after="120"/>
        <w:ind w:left="720"/>
      </w:pPr>
      <w:r>
        <w:rPr>
          <w:rFonts w:ascii="Courier New" w:cs="Courier New" w:eastAsia="Courier New" w:hAnsi="Courier New"/>
          <w:b/>
          <w:bCs/>
          <w:color w:val="92400E"/>
          <w:sz w:val="20"/>
          <w:szCs w:val="20"/>
        </w:rPr>
        <w:t xml:space="preserve">η = β0 + β_roof · roof_age + β_wf · wildfire + β_flood · flood + …</w:t>
      </w:r>
    </w:p>
    <w:p>
      <w:pPr>
        <w:spacing w:after="120"/>
        <w:jc w:val="left"/>
      </w:pPr>
      <w:r>
        <w:rPr>
          <w:rFonts w:ascii="Arial" w:cs="Arial" w:eastAsia="Arial" w:hAnsi="Arial"/>
          <w:b w:val="false"/>
          <w:bCs w:val="false"/>
          <w:i w:val="false"/>
          <w:iCs w:val="false"/>
          <w:color w:val="374151"/>
          <w:sz w:val="20"/>
          <w:szCs w:val="20"/>
        </w:rPr>
        <w:t xml:space="preserve">This means the GLM assumes that the effect of roof age is the same regardless of wildfire exposure, and the effect of wildfire exposure is the same regardless of roof material. In actuarial terms, the model assumes risk factors are conditionally independent given the other covariates.</w:t>
      </w:r>
    </w:p>
    <w:p>
      <w:pPr>
        <w:spacing w:after="120"/>
        <w:jc w:val="left"/>
      </w:pPr>
      <w:r>
        <w:rPr>
          <w:rFonts w:ascii="Arial" w:cs="Arial" w:eastAsia="Arial" w:hAnsi="Arial"/>
          <w:b w:val="false"/>
          <w:bCs w:val="false"/>
          <w:i w:val="false"/>
          <w:iCs w:val="false"/>
          <w:color w:val="374151"/>
          <w:sz w:val="20"/>
          <w:szCs w:val="20"/>
        </w:rPr>
        <w:t xml:space="preserve">In reality, risk factors interact. A 25-year-old wood-shake roof in a low-wildfire zone is a modest concern. The same roof in a high-wildfire zone is a catastrophic exposure: embers travel over a mile, igniting deteriorated wood shingles that have lost their fire-retardant treatment. The joint risk is not additive — it is super-multiplicative.</w:t>
      </w:r>
    </w:p>
    <w:p>
      <w:pPr>
        <w:spacing w:after="120"/>
        <w:jc w:val="left"/>
      </w:pPr>
      <w:r>
        <w:rPr>
          <w:rFonts w:ascii="Arial" w:cs="Arial" w:eastAsia="Arial" w:hAnsi="Arial"/>
          <w:b w:val="false"/>
          <w:bCs w:val="false"/>
          <w:i w:val="false"/>
          <w:iCs w:val="false"/>
          <w:color w:val="374151"/>
          <w:sz w:val="20"/>
          <w:szCs w:val="20"/>
        </w:rPr>
        <w:t xml:space="preserve">The standard industry approach to this problem is to manually add interaction terms to the GLM. But this requires the actuary to hypothesise which interactions exist, test them one by one, and justify each in the rate filing. With 25 variables, there are 300 possible pairwise interactions and 2,300 three-way interactions. Manual discovery is intractable.</w:t>
      </w:r>
    </w:p>
    <w:p>
      <w:pPr>
        <w:shd w:fill="EFF6FF" w:val="clear"/>
        <w:spacing w:before="80" w:after="120"/>
        <w:ind w:left="360"/>
      </w:pPr>
      <w:r>
        <w:rPr>
          <w:rFonts w:ascii="Arial" w:cs="Arial" w:eastAsia="Arial" w:hAnsi="Arial"/>
          <w:i/>
          <w:iCs/>
          <w:color w:val="1D4ED8"/>
          <w:sz w:val="18"/>
          <w:szCs w:val="18"/>
        </w:rPr>
        <w:t xml:space="preserve">Key insight: The gap is not in the GLM framework itself — GLMs can accommodate interaction terms. The gap is in discovering which interactions are statistically significant and actuarially meaningful. That is what the M̂ ensemble solves.</w:t>
      </w:r>
    </w:p>
    <w:p>
      <w:pPr>
        <w:pStyle w:val="Heading2"/>
        <w:spacing w:before="300" w:after="160"/>
      </w:pPr>
      <w:r>
        <w:rPr>
          <w:rFonts w:ascii="Arial" w:cs="Arial" w:eastAsia="Arial" w:hAnsi="Arial"/>
          <w:b/>
          <w:bCs/>
          <w:color w:val="1D4ED8"/>
          <w:sz w:val="26"/>
          <w:szCs w:val="26"/>
        </w:rPr>
        <w:t xml:space="preserve">2.5 Competitive Landscape</w:t>
      </w:r>
    </w:p>
    <w:p>
      <w:pPr>
        <w:spacing w:after="120"/>
        <w:jc w:val="left"/>
      </w:pPr>
      <w:r>
        <w:rPr>
          <w:rFonts w:ascii="Arial" w:cs="Arial" w:eastAsia="Arial" w:hAnsi="Arial"/>
          <w:b w:val="false"/>
          <w:bCs w:val="false"/>
          <w:i w:val="false"/>
          <w:iCs w:val="false"/>
          <w:color w:val="374151"/>
          <w:sz w:val="20"/>
          <w:szCs w:val="20"/>
        </w:rPr>
        <w:t xml:space="preserve">The major vendor solutions in the homeowners risk-scoring market each have specific strengths but share the additive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Vendor</w:t>
            </w:r>
          </w:p>
        </w:tc>
        <w:tc>
          <w:tcPr>
            <w:tcW w:type="dxa" w:w="35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Strength</w:t>
            </w:r>
          </w:p>
        </w:tc>
        <w:tc>
          <w:tcPr>
            <w:tcW w:type="dxa" w:w="35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Limitation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ZestyAI</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Z-FIRE/Z-HAIL/Z-WIND scores; 70+ regulatory approvals; 99.7% US property coverage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Peril-specific scores; limited cross-peril interaction modeling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CAPE Analytics / Moody’s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Roof condition rating trusted by 50%+ top carriers; approved in 40+ states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Exterior-only; cannot assess interior hazards (plumbing, wiring)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HazardHub / Guidewire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1,250+ data points; 50+ peril scores per address; sub-100ms response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Additive scoring; loss ratios in F hail zones 100.9× higher than A zones, but no cross-peril amplification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Verisk</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CLUE 7-year claims history; ISO protection class; 360Value replacement cost</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Legacy framework; slow to incorporate satellite/aerial data; interaction effects not modeled explicitly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CoreLogic / Cotality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4.5B property records; Marshall &amp; Swift reconstruction cost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Data provider, not a model; interaction discovery left to the carrier</w:t>
            </w:r>
          </w:p>
        </w:tc>
      </w:tr>
    </w:tbl>
    <w:p>
      <w:pPr>
        <w:spacing w:after="120"/>
        <w:jc w:val="left"/>
      </w:pPr>
      <w:r>
        <w:rPr>
          <w:rFonts w:ascii="Arial" w:cs="Arial" w:eastAsia="Arial" w:hAnsi="Arial"/>
          <w:b w:val="false"/>
          <w:bCs w:val="false"/>
          <w:i w:val="false"/>
          <w:iCs w:val="false"/>
          <w:color w:val="374151"/>
          <w:sz w:val="20"/>
          <w:szCs w:val="20"/>
        </w:rPr>
        <w:t xml:space="preserve"/>
      </w:r>
    </w:p>
    <w:p>
      <w:pPr>
        <w:spacing w:after="120"/>
        <w:jc w:val="left"/>
      </w:pPr>
      <w:r>
        <w:rPr>
          <w:rFonts w:ascii="Arial" w:cs="Arial" w:eastAsia="Arial" w:hAnsi="Arial"/>
          <w:b w:val="false"/>
          <w:bCs w:val="false"/>
          <w:i w:val="false"/>
          <w:iCs w:val="false"/>
          <w:color w:val="374151"/>
          <w:sz w:val="20"/>
          <w:szCs w:val="20"/>
        </w:rPr>
        <w:t xml:space="preserve">The competitive opportunity lies in the gap between what these vendors provide (rich feature data) and what carriers need (compound-risk pricing). The M̂ architecture bridges this gap by treating vendor features as inputs to an interaction-discovery engine.</w:t>
      </w:r>
    </w:p>
    <w:p>
      <w:r>
        <w:br w:type="page"/>
      </w:r>
    </w:p>
    <w:p>
      <w:pPr>
        <w:pStyle w:val="Heading1"/>
        <w:spacing w:before="360" w:after="200"/>
      </w:pPr>
      <w:r>
        <w:rPr>
          <w:rFonts w:ascii="Arial" w:cs="Arial" w:eastAsia="Arial" w:hAnsi="Arial"/>
          <w:b/>
          <w:bCs/>
          <w:color w:val="0F172A"/>
          <w:sz w:val="32"/>
          <w:szCs w:val="32"/>
        </w:rPr>
        <w:t xml:space="preserve">3. Solution Differentiator: The M̂ Interaction Multiplier</w:t>
      </w:r>
    </w:p>
    <w:p>
      <w:pPr>
        <w:spacing w:after="120"/>
        <w:jc w:val="left"/>
      </w:pPr>
      <w:r>
        <w:rPr>
          <w:rFonts w:ascii="Arial" w:cs="Arial" w:eastAsia="Arial" w:hAnsi="Arial"/>
          <w:b w:val="false"/>
          <w:bCs w:val="false"/>
          <w:i w:val="false"/>
          <w:iCs w:val="false"/>
          <w:color w:val="374151"/>
          <w:sz w:val="20"/>
          <w:szCs w:val="20"/>
        </w:rPr>
        <w:t xml:space="preserve">The core proposition of this demo is that compound risks require compound models. The M̂ architecture extends the industry-standard GLM without replacing it, preserving regulatory compliance while capturing the interaction effects that additive models miss.</w:t>
      </w:r>
    </w:p>
    <w:p>
      <w:pPr>
        <w:pStyle w:val="Heading2"/>
        <w:spacing w:before="300" w:after="160"/>
      </w:pPr>
      <w:r>
        <w:rPr>
          <w:rFonts w:ascii="Arial" w:cs="Arial" w:eastAsia="Arial" w:hAnsi="Arial"/>
          <w:b/>
          <w:bCs/>
          <w:color w:val="1D4ED8"/>
          <w:sz w:val="26"/>
          <w:szCs w:val="26"/>
        </w:rPr>
        <w:t xml:space="preserve">3.1 The GLM Improver Pattern</w:t>
      </w:r>
    </w:p>
    <w:p>
      <w:pPr>
        <w:spacing w:after="120"/>
        <w:jc w:val="left"/>
      </w:pPr>
      <w:r>
        <w:rPr>
          <w:rFonts w:ascii="Arial" w:cs="Arial" w:eastAsia="Arial" w:hAnsi="Arial"/>
          <w:b w:val="false"/>
          <w:bCs w:val="false"/>
          <w:i w:val="false"/>
          <w:iCs w:val="false"/>
          <w:color w:val="374151"/>
          <w:sz w:val="20"/>
          <w:szCs w:val="20"/>
        </w:rPr>
        <w:t xml:space="preserve">The architecture follows the well-established “GLM Improver” workflow first documented by Dai (CAS E-Forum, Spring 2018):</w:t>
      </w:r>
    </w:p>
    <w:p>
      <w:pPr>
        <w:pStyle w:val="ListParagraph"/>
        <w:numPr>
          <w:ilvl w:val="0"/>
          <w:numId w:val="5"/>
        </w:numPr>
        <w:spacing w:after="80"/>
      </w:pPr>
      <w:r>
        <w:rPr>
          <w:rFonts w:ascii="Arial" w:cs="Arial" w:eastAsia="Arial" w:hAnsi="Arial"/>
          <w:color w:val="374151"/>
          <w:sz w:val="20"/>
          <w:szCs w:val="20"/>
        </w:rPr>
        <w:t xml:space="preserve">Fit a baseline GLM with main effects (Tier 1 + Tier 2 features) on historical claim data.</w:t>
      </w:r>
    </w:p>
    <w:p>
      <w:pPr>
        <w:pStyle w:val="ListParagraph"/>
        <w:numPr>
          <w:ilvl w:val="0"/>
          <w:numId w:val="5"/>
        </w:numPr>
        <w:spacing w:after="80"/>
      </w:pPr>
      <w:r>
        <w:rPr>
          <w:rFonts w:ascii="Arial" w:cs="Arial" w:eastAsia="Arial" w:hAnsi="Arial"/>
          <w:color w:val="374151"/>
          <w:sz w:val="20"/>
          <w:szCs w:val="20"/>
        </w:rPr>
        <w:t xml:space="preserve">Compute the multiplicative residual for each training policy: M_actual(i) = Actual_Loss(i) / GLM_Prediction(i). When M_actual &gt; 1.0, the GLM under-predicted — the policy experienced more loss than the additive model expected.</w:t>
      </w:r>
    </w:p>
    <w:p>
      <w:pPr>
        <w:pStyle w:val="ListParagraph"/>
        <w:numPr>
          <w:ilvl w:val="0"/>
          <w:numId w:val="5"/>
        </w:numPr>
        <w:spacing w:after="80"/>
      </w:pPr>
      <w:r>
        <w:rPr>
          <w:rFonts w:ascii="Arial" w:cs="Arial" w:eastAsia="Arial" w:hAnsi="Arial"/>
          <w:color w:val="374151"/>
          <w:sz w:val="20"/>
          <w:szCs w:val="20"/>
        </w:rPr>
        <w:t xml:space="preserve">Train a gradient-boosted ensemble on M_actual using Tier 3 features. The ensemble learns which compound-peril co-exposures systematically drive M_actual above 1.0.</w:t>
      </w:r>
    </w:p>
    <w:p>
      <w:pPr>
        <w:pStyle w:val="ListParagraph"/>
        <w:numPr>
          <w:ilvl w:val="0"/>
          <w:numId w:val="5"/>
        </w:numPr>
        <w:spacing w:after="80"/>
      </w:pPr>
      <w:r>
        <w:rPr>
          <w:rFonts w:ascii="Arial" w:cs="Arial" w:eastAsia="Arial" w:hAnsi="Arial"/>
          <w:color w:val="374151"/>
          <w:sz w:val="20"/>
          <w:szCs w:val="20"/>
        </w:rPr>
        <w:t xml:space="preserve">At scoring time, the final prediction is: E[L] = GLM_prediction × M̂. The GLM provides the regulatory-compliant base; M̂ provides the interaction-aware adjustment.</w:t>
      </w:r>
    </w:p>
    <w:p>
      <w:pPr>
        <w:spacing w:after="120"/>
        <w:jc w:val="left"/>
      </w:pPr>
      <w:r>
        <w:rPr>
          <w:rFonts w:ascii="Arial" w:cs="Arial" w:eastAsia="Arial" w:hAnsi="Arial"/>
          <w:b w:val="false"/>
          <w:bCs w:val="false"/>
          <w:i w:val="false"/>
          <w:iCs w:val="false"/>
          <w:color w:val="374151"/>
          <w:sz w:val="20"/>
          <w:szCs w:val="20"/>
        </w:rPr>
        <w:t xml:space="preserve">This pattern preserves a clean separation of concerns: the GLM remains the filed model with auditable coefficients, while M̂ operates as an internal overlay for pricing precision. Two separate artifacts, two separate regulatory conversations.</w:t>
      </w:r>
    </w:p>
    <w:p>
      <w:pPr>
        <w:pStyle w:val="Heading2"/>
        <w:spacing w:before="300" w:after="160"/>
      </w:pPr>
      <w:r>
        <w:rPr>
          <w:rFonts w:ascii="Arial" w:cs="Arial" w:eastAsia="Arial" w:hAnsi="Arial"/>
          <w:b/>
          <w:bCs/>
          <w:color w:val="1D4ED8"/>
          <w:sz w:val="26"/>
          <w:szCs w:val="26"/>
        </w:rPr>
        <w:t xml:space="preserve">3.2 The Three-Tier Feature Framework</w:t>
      </w:r>
    </w:p>
    <w:p>
      <w:pPr>
        <w:spacing w:after="120"/>
        <w:jc w:val="left"/>
      </w:pPr>
      <w:r>
        <w:rPr>
          <w:rFonts w:ascii="Arial" w:cs="Arial" w:eastAsia="Arial" w:hAnsi="Arial"/>
          <w:b w:val="false"/>
          <w:bCs w:val="false"/>
          <w:i w:val="false"/>
          <w:iCs w:val="false"/>
          <w:color w:val="374151"/>
          <w:sz w:val="20"/>
          <w:szCs w:val="20"/>
        </w:rPr>
        <w:t xml:space="preserve">The 25-variable feature set is organised into three tiers by predictive contribution and actuarial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Variables</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R² Contribution</w:t>
            </w:r>
          </w:p>
        </w:tc>
        <w:tc>
          <w:tcPr>
            <w:tcW w:type="dxa" w:w="3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Role in Architecture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Tier 1: Property &amp; Structural</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4 primary drivers (roof, wildfire, water loss, RCV)</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60%</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Primary risk signal; highest individual correlations (r = 0.29–0.42)</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Tier 2: Behavioural &amp; Secondary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9 secondary factors (credit, claims, deductible, IoT, etc.)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Refinement signal; moderate individual power (r = 0.11–0.24)</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Tier 3: Hazard &amp; Interaction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12 variables (peril zones, distances, interaction inputs)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M̂ inputs; individually weak but compound effects are transformative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Irreducible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8%</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Random noise; cannot be explained by any model</w:t>
            </w:r>
          </w:p>
        </w:tc>
      </w:tr>
    </w:tbl>
    <w:p>
      <w:pPr>
        <w:spacing w:after="120"/>
        <w:jc w:val="left"/>
      </w:pPr>
      <w:r>
        <w:rPr>
          <w:rFonts w:ascii="Arial" w:cs="Arial" w:eastAsia="Arial" w:hAnsi="Arial"/>
          <w:b w:val="false"/>
          <w:bCs w:val="false"/>
          <w:i w:val="false"/>
          <w:iCs w:val="false"/>
          <w:color w:val="374151"/>
          <w:sz w:val="20"/>
          <w:szCs w:val="20"/>
        </w:rPr>
        <w:t xml:space="preserve"/>
      </w:r>
    </w:p>
    <w:p>
      <w:pPr>
        <w:spacing w:after="120"/>
        <w:jc w:val="left"/>
      </w:pPr>
      <w:r>
        <w:rPr>
          <w:rFonts w:ascii="Arial" w:cs="Arial" w:eastAsia="Arial" w:hAnsi="Arial"/>
          <w:b w:val="false"/>
          <w:bCs w:val="false"/>
          <w:i w:val="false"/>
          <w:iCs w:val="false"/>
          <w:color w:val="374151"/>
          <w:sz w:val="20"/>
          <w:szCs w:val="20"/>
        </w:rPr>
        <w:t xml:space="preserve">The critical insight is that Tier 3 variables have low individual predictive power (each r &lt; 0.15) but produce powerful effects in combination. Wildfire zone alone explains little incremental variance after Tier 1 captures roof vulnerability. But wildfire zone combined with roof material, distance to fire station, slope steepness, and post-burn rainfall intensity creates compound risk patterns that no additive model can capture.</w:t>
      </w:r>
    </w:p>
    <w:p>
      <w:pPr>
        <w:pStyle w:val="Heading2"/>
        <w:spacing w:before="300" w:after="160"/>
      </w:pPr>
      <w:r>
        <w:rPr>
          <w:rFonts w:ascii="Arial" w:cs="Arial" w:eastAsia="Arial" w:hAnsi="Arial"/>
          <w:b/>
          <w:bCs/>
          <w:color w:val="1D4ED8"/>
          <w:sz w:val="26"/>
          <w:szCs w:val="26"/>
        </w:rPr>
        <w:t xml:space="preserve">3.3 Named Interaction Effects</w:t>
      </w:r>
    </w:p>
    <w:p>
      <w:pPr>
        <w:spacing w:after="120"/>
        <w:jc w:val="left"/>
      </w:pPr>
      <w:r>
        <w:rPr>
          <w:rFonts w:ascii="Arial" w:cs="Arial" w:eastAsia="Arial" w:hAnsi="Arial"/>
          <w:b w:val="false"/>
          <w:bCs w:val="false"/>
          <w:i w:val="false"/>
          <w:iCs w:val="false"/>
          <w:color w:val="374151"/>
          <w:sz w:val="20"/>
          <w:szCs w:val="20"/>
        </w:rPr>
        <w:t xml:space="preserve">The demo showcases specific, actuarially grounded interaction effects, each with a clear physical mechanism:</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4320"/>
        <w:gridCol w:w="100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Interaction</w:t>
            </w:r>
          </w:p>
        </w:tc>
        <w:tc>
          <w:tcPr>
            <w:tcW w:type="dxa" w:w="9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Multiplier</w:t>
            </w:r>
          </w:p>
        </w:tc>
        <w:tc>
          <w:tcPr>
            <w:tcW w:type="dxa" w:w="43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Physical Mechanism</w:t>
            </w:r>
          </w:p>
        </w:tc>
        <w:tc>
          <w:tcPr>
            <w:tcW w:type="dxa" w:w="1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R² Gain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Wood Shake × High Wildfire</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×3.50</w:t>
            </w:r>
          </w:p>
        </w:tc>
        <w:tc>
          <w:tcPr>
            <w:tcW w:type="dxa" w:w="4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Embers travel 1+ mile; wood ignites at 572°F vs 700°F for asphalt. Joint ignition probability is multiplicative.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+6%</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High Flood × Coastal (&lt;5mi)</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×2.20</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Storm surge amplification in hurricane-track states. Under 5 miles, surge height increases non-linearly.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Non-Wood × High Wildfire</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×1.80</w:t>
            </w:r>
          </w:p>
        </w:tc>
        <w:tc>
          <w:tcPr>
            <w:tcW w:type="dxa" w:w="4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Even fire-resistant roofing cannot fully mitigate ember intrusion through vents and eaves in WUI zones.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High Earthquake Zone</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×1.50</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Seismic amplification in CA San Andreas corridor and Pacific NW subduction zone.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Old Roof × Frame Construction</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×1.35</w:t>
            </w:r>
          </w:p>
        </w:tc>
        <w:tc>
          <w:tcPr>
            <w:tcW w:type="dxa" w:w="4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Aged roof over combustible structure: degraded sheathing + frame fuel load = accelerated fire progression.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+0.5%</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Water Claims × High Vegetation</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×1.25</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Root systems seek moisture, penetrating foundations and sewer lines. Prior water claims confirm the cycle.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+0.5%</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Old Roof × High Hail Zone</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×1.30</w:t>
            </w:r>
          </w:p>
        </w:tc>
        <w:tc>
          <w:tcPr>
            <w:tcW w:type="dxa" w:w="4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Cumulative micro-damage from repeated hail accelerates granule loss. Functional failure at lower hail sizes.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+0.5%</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Frame × PC ≥ 8</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×1.18</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Slow fire department response + fast-igniting frame construction = severity amplification.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+0.3%</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Slope × Wildfire × Post-burn Rain</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×1.45</w:t>
            </w:r>
          </w:p>
        </w:tc>
        <w:tc>
          <w:tcPr>
            <w:tcW w:type="dxa" w:w="4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Three-way: steep slope + recent burn + rainfall = debris flow. Montecito 2018 archetype.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+0.5%</w:t>
            </w:r>
          </w:p>
        </w:tc>
      </w:tr>
    </w:tbl>
    <w:p>
      <w:pPr>
        <w:spacing w:after="120"/>
        <w:jc w:val="left"/>
      </w:pPr>
      <w:r>
        <w:rPr>
          <w:rFonts w:ascii="Arial" w:cs="Arial" w:eastAsia="Arial" w:hAnsi="Arial"/>
          <w:b w:val="false"/>
          <w:bCs w:val="false"/>
          <w:i w:val="false"/>
          <w:iCs w:val="false"/>
          <w:color w:val="374151"/>
          <w:sz w:val="20"/>
          <w:szCs w:val="20"/>
        </w:rPr>
        <w:t xml:space="preserve"/>
      </w:r>
    </w:p>
    <w:p>
      <w:pPr>
        <w:pStyle w:val="Heading2"/>
        <w:spacing w:before="300" w:after="160"/>
      </w:pPr>
      <w:r>
        <w:rPr>
          <w:rFonts w:ascii="Arial" w:cs="Arial" w:eastAsia="Arial" w:hAnsi="Arial"/>
          <w:b/>
          <w:bCs/>
          <w:color w:val="1D4ED8"/>
          <w:sz w:val="26"/>
          <w:szCs w:val="26"/>
        </w:rPr>
        <w:t xml:space="preserve">3.4 Why GLM Over XGBoost</w:t>
      </w:r>
    </w:p>
    <w:p>
      <w:pPr>
        <w:spacing w:after="120"/>
        <w:jc w:val="left"/>
      </w:pPr>
      <w:r>
        <w:rPr>
          <w:rFonts w:ascii="Arial" w:cs="Arial" w:eastAsia="Arial" w:hAnsi="Arial"/>
          <w:b w:val="false"/>
          <w:bCs w:val="false"/>
          <w:i w:val="false"/>
          <w:iCs w:val="false"/>
          <w:color w:val="374151"/>
          <w:sz w:val="20"/>
          <w:szCs w:val="20"/>
        </w:rPr>
        <w:t xml:space="preserve">The choice to anchor the demo on a GLM (not a tree-based model) is deliberate and strategic:</w:t>
      </w:r>
    </w:p>
    <w:p>
      <w:pPr>
        <w:pStyle w:val="ListParagraph"/>
        <w:numPr>
          <w:ilvl w:val="0"/>
          <w:numId w:val="2"/>
        </w:numPr>
        <w:spacing w:after="80"/>
      </w:pPr>
      <w:r>
        <w:rPr>
          <w:rFonts w:ascii="Arial" w:cs="Arial" w:eastAsia="Arial" w:hAnsi="Arial"/>
          <w:b/>
          <w:bCs/>
          <w:color w:val="374151"/>
          <w:sz w:val="20"/>
          <w:szCs w:val="20"/>
        </w:rPr>
        <w:t xml:space="preserve">Regulatory acceptance: </w:t>
      </w:r>
      <w:r>
        <w:rPr>
          <w:rFonts w:ascii="Arial" w:cs="Arial" w:eastAsia="Arial" w:hAnsi="Arial"/>
          <w:color w:val="374151"/>
          <w:sz w:val="20"/>
          <w:szCs w:val="20"/>
        </w:rPr>
        <w:t xml:space="preserve">State DOIs have established review procedures specifically for GLMs. The NAIC White Paper states that the majority of predictive models in personal auto and home insurance are GLMs. Tree-based models face heightened scrutiny.</w:t>
      </w:r>
    </w:p>
    <w:p>
      <w:pPr>
        <w:pStyle w:val="ListParagraph"/>
        <w:numPr>
          <w:ilvl w:val="0"/>
          <w:numId w:val="2"/>
        </w:numPr>
        <w:spacing w:after="80"/>
      </w:pPr>
      <w:r>
        <w:rPr>
          <w:rFonts w:ascii="Arial" w:cs="Arial" w:eastAsia="Arial" w:hAnsi="Arial"/>
          <w:b/>
          <w:bCs/>
          <w:color w:val="374151"/>
          <w:sz w:val="20"/>
          <w:szCs w:val="20"/>
        </w:rPr>
        <w:t xml:space="preserve">Interaction storytelling: </w:t>
      </w:r>
      <w:r>
        <w:rPr>
          <w:rFonts w:ascii="Arial" w:cs="Arial" w:eastAsia="Arial" w:hAnsi="Arial"/>
          <w:color w:val="374151"/>
          <w:sz w:val="20"/>
          <w:szCs w:val="20"/>
        </w:rPr>
        <w:t xml:space="preserve">Each Tier 3 interaction has a single, named, interpretable coefficient. In a GBM, interactions are implicit in tree splits and cannot be individually quantified for an executive audience.</w:t>
      </w:r>
    </w:p>
    <w:p>
      <w:pPr>
        <w:pStyle w:val="ListParagraph"/>
        <w:numPr>
          <w:ilvl w:val="0"/>
          <w:numId w:val="2"/>
        </w:numPr>
        <w:spacing w:after="80"/>
      </w:pPr>
      <w:r>
        <w:rPr>
          <w:rFonts w:ascii="Arial" w:cs="Arial" w:eastAsia="Arial" w:hAnsi="Arial"/>
          <w:b/>
          <w:bCs/>
          <w:color w:val="374151"/>
          <w:sz w:val="20"/>
          <w:szCs w:val="20"/>
        </w:rPr>
        <w:t xml:space="preserve">Exact SHAP decomposition: </w:t>
      </w:r>
      <w:r>
        <w:rPr>
          <w:rFonts w:ascii="Arial" w:cs="Arial" w:eastAsia="Arial" w:hAnsi="Arial"/>
          <w:color w:val="374151"/>
          <w:sz w:val="20"/>
          <w:szCs w:val="20"/>
        </w:rPr>
        <w:t xml:space="preserve">GLM SHAP values are computed in O(M) time via LinearExplainer, mapping directly to the multiplicative factor structure. No expensive KernelSHAP approximation needed.</w:t>
      </w:r>
    </w:p>
    <w:p>
      <w:pPr>
        <w:pStyle w:val="ListParagraph"/>
        <w:numPr>
          <w:ilvl w:val="0"/>
          <w:numId w:val="2"/>
        </w:numPr>
        <w:spacing w:after="80"/>
      </w:pPr>
      <w:r>
        <w:rPr>
          <w:rFonts w:ascii="Arial" w:cs="Arial" w:eastAsia="Arial" w:hAnsi="Arial"/>
          <w:b/>
          <w:bCs/>
          <w:color w:val="374151"/>
          <w:sz w:val="20"/>
          <w:szCs w:val="20"/>
        </w:rPr>
        <w:t xml:space="preserve">CAS Monograph canonical: </w:t>
      </w:r>
      <w:r>
        <w:rPr>
          <w:rFonts w:ascii="Arial" w:cs="Arial" w:eastAsia="Arial" w:hAnsi="Arial"/>
          <w:color w:val="374151"/>
          <w:sz w:val="20"/>
          <w:szCs w:val="20"/>
        </w:rPr>
        <w:t xml:space="preserve">The profession’s reference text covers this methodology explicitly. Carriers cite it in regulatory memoranda.</w:t>
      </w:r>
    </w:p>
    <w:p>
      <w:pPr>
        <w:pStyle w:val="ListParagraph"/>
        <w:numPr>
          <w:ilvl w:val="0"/>
          <w:numId w:val="2"/>
        </w:numPr>
        <w:spacing w:after="80"/>
      </w:pPr>
      <w:r>
        <w:rPr>
          <w:rFonts w:ascii="Arial" w:cs="Arial" w:eastAsia="Arial" w:hAnsi="Arial"/>
          <w:b/>
          <w:bCs/>
          <w:color w:val="374151"/>
          <w:sz w:val="20"/>
          <w:szCs w:val="20"/>
        </w:rPr>
        <w:t xml:space="preserve">Benchmark validation: </w:t>
      </w:r>
      <w:r>
        <w:rPr>
          <w:rFonts w:ascii="Arial" w:cs="Arial" w:eastAsia="Arial" w:hAnsi="Arial"/>
          <w:color w:val="374151"/>
          <w:sz w:val="20"/>
          <w:szCs w:val="20"/>
        </w:rPr>
        <w:t xml:space="preserve">The recommended approach is to show that the GLM captures 85–90% of GBM predictive lift with full coefficient transparency.</w:t>
      </w:r>
    </w:p>
    <w:p>
      <w:r>
        <w:br w:type="page"/>
      </w:r>
    </w:p>
    <w:p>
      <w:pPr>
        <w:pStyle w:val="Heading1"/>
        <w:spacing w:before="360" w:after="200"/>
      </w:pPr>
      <w:r>
        <w:rPr>
          <w:rFonts w:ascii="Arial" w:cs="Arial" w:eastAsia="Arial" w:hAnsi="Arial"/>
          <w:b/>
          <w:bCs/>
          <w:color w:val="0F172A"/>
          <w:sz w:val="32"/>
          <w:szCs w:val="32"/>
        </w:rPr>
        <w:t xml:space="preserve">4. Mathematical Foundation</w:t>
      </w:r>
    </w:p>
    <w:p>
      <w:pPr>
        <w:spacing w:after="120"/>
        <w:jc w:val="left"/>
      </w:pPr>
      <w:r>
        <w:rPr>
          <w:rFonts w:ascii="Arial" w:cs="Arial" w:eastAsia="Arial" w:hAnsi="Arial"/>
          <w:b w:val="false"/>
          <w:bCs w:val="false"/>
          <w:i w:val="false"/>
          <w:iCs w:val="false"/>
          <w:color w:val="374151"/>
          <w:sz w:val="20"/>
          <w:szCs w:val="20"/>
        </w:rPr>
        <w:t xml:space="preserve">This section provides the full mathematical specification of the scoring pipeline at sufficient depth for actuarial peer review.</w:t>
      </w:r>
    </w:p>
    <w:p>
      <w:pPr>
        <w:pStyle w:val="Heading2"/>
        <w:spacing w:before="300" w:after="160"/>
      </w:pPr>
      <w:r>
        <w:rPr>
          <w:rFonts w:ascii="Arial" w:cs="Arial" w:eastAsia="Arial" w:hAnsi="Arial"/>
          <w:b/>
          <w:bCs/>
          <w:color w:val="1D4ED8"/>
          <w:sz w:val="26"/>
          <w:szCs w:val="26"/>
        </w:rPr>
        <w:t xml:space="preserve">4.1 The Pricing Formula Chain</w:t>
      </w:r>
    </w:p>
    <w:p>
      <w:pPr>
        <w:spacing w:after="120"/>
        <w:jc w:val="left"/>
      </w:pPr>
      <w:r>
        <w:rPr>
          <w:rFonts w:ascii="Arial" w:cs="Arial" w:eastAsia="Arial" w:hAnsi="Arial"/>
          <w:b w:val="false"/>
          <w:bCs w:val="false"/>
          <w:i w:val="false"/>
          <w:iCs w:val="false"/>
          <w:color w:val="374151"/>
          <w:sz w:val="20"/>
          <w:szCs w:val="20"/>
        </w:rPr>
        <w:t xml:space="preserve">The end-to-end pricing formula has four stages:</w:t>
      </w:r>
    </w:p>
    <w:p>
      <w:pPr>
        <w:pStyle w:val="Heading3"/>
        <w:spacing w:before="240" w:after="120"/>
      </w:pPr>
      <w:r>
        <w:rPr>
          <w:rFonts w:ascii="Arial" w:cs="Arial" w:eastAsia="Arial" w:hAnsi="Arial"/>
          <w:b/>
          <w:bCs/>
          <w:color w:val="6D28D9"/>
          <w:sz w:val="22"/>
          <w:szCs w:val="22"/>
        </w:rPr>
        <w:t xml:space="preserve">Stage 1: Frequency Estimation (λ)</w:t>
      </w:r>
    </w:p>
    <w:p>
      <w:pPr>
        <w:spacing w:after="120"/>
        <w:jc w:val="left"/>
      </w:pPr>
      <w:r>
        <w:rPr>
          <w:rFonts w:ascii="Arial" w:cs="Arial" w:eastAsia="Arial" w:hAnsi="Arial"/>
          <w:b w:val="false"/>
          <w:bCs w:val="false"/>
          <w:i w:val="false"/>
          <w:iCs w:val="false"/>
          <w:color w:val="374151"/>
          <w:sz w:val="20"/>
          <w:szCs w:val="20"/>
        </w:rPr>
        <w:t xml:space="preserve">A Poisson GLM estimates the annual claim probability:</w:t>
      </w:r>
    </w:p>
    <w:p>
      <w:pPr>
        <w:spacing w:before="120" w:after="120"/>
        <w:ind w:left="720"/>
      </w:pPr>
      <w:r>
        <w:rPr>
          <w:rFonts w:ascii="Courier New" w:cs="Courier New" w:eastAsia="Courier New" w:hAnsi="Courier New"/>
          <w:b/>
          <w:bCs/>
          <w:color w:val="92400E"/>
          <w:sz w:val="20"/>
          <w:szCs w:val="20"/>
        </w:rPr>
        <w:t xml:space="preserve">log(λ) = β0 + Σ βj · xj    (Tier 1 + Tier 2 features)</w:t>
      </w:r>
    </w:p>
    <w:p>
      <w:pPr>
        <w:spacing w:before="120" w:after="120"/>
        <w:ind w:left="720"/>
      </w:pPr>
      <w:r>
        <w:rPr>
          <w:rFonts w:ascii="Courier New" w:cs="Courier New" w:eastAsia="Courier New" w:hAnsi="Courier New"/>
          <w:b/>
          <w:bCs/>
          <w:color w:val="92400E"/>
          <w:sz w:val="20"/>
          <w:szCs w:val="20"/>
        </w:rPr>
        <w:t xml:space="preserve">λ = exp(β0 + Σ βj · xj)</w:t>
      </w:r>
    </w:p>
    <w:p>
      <w:pPr>
        <w:spacing w:after="120"/>
        <w:jc w:val="left"/>
      </w:pPr>
      <w:r>
        <w:rPr>
          <w:rFonts w:ascii="Arial" w:cs="Arial" w:eastAsia="Arial" w:hAnsi="Arial"/>
          <w:b w:val="false"/>
          <w:bCs w:val="false"/>
          <w:i w:val="false"/>
          <w:iCs w:val="false"/>
          <w:color w:val="374151"/>
          <w:sz w:val="20"/>
          <w:szCs w:val="20"/>
        </w:rPr>
        <w:t xml:space="preserve">The Poisson distribution models count data: P(N = k) = λ^k · exp(−λ) / k!. For homeowners, λ ≈ 0.053 (5.3% annual claim rate). Features that increase λ include prior claims (×1.32 per claim), low credit score, vacant occupancy (+65%), and high protection class.</w:t>
      </w:r>
    </w:p>
    <w:p>
      <w:pPr>
        <w:pStyle w:val="Heading3"/>
        <w:spacing w:before="240" w:after="120"/>
      </w:pPr>
      <w:r>
        <w:rPr>
          <w:rFonts w:ascii="Arial" w:cs="Arial" w:eastAsia="Arial" w:hAnsi="Arial"/>
          <w:b/>
          <w:bCs/>
          <w:color w:val="6D28D9"/>
          <w:sz w:val="22"/>
          <w:szCs w:val="22"/>
        </w:rPr>
        <w:t xml:space="preserve">Stage 2: Severity Estimation (μ)</w:t>
      </w:r>
    </w:p>
    <w:p>
      <w:pPr>
        <w:spacing w:after="120"/>
        <w:jc w:val="left"/>
      </w:pPr>
      <w:r>
        <w:rPr>
          <w:rFonts w:ascii="Arial" w:cs="Arial" w:eastAsia="Arial" w:hAnsi="Arial"/>
          <w:b w:val="false"/>
          <w:bCs w:val="false"/>
          <w:i w:val="false"/>
          <w:iCs w:val="false"/>
          <w:color w:val="374151"/>
          <w:sz w:val="20"/>
          <w:szCs w:val="20"/>
        </w:rPr>
        <w:t xml:space="preserve">A Gamma GLM estimates the expected claim size, conditional on a claim occurring:</w:t>
      </w:r>
    </w:p>
    <w:p>
      <w:pPr>
        <w:spacing w:before="120" w:after="120"/>
        <w:ind w:left="720"/>
      </w:pPr>
      <w:r>
        <w:rPr>
          <w:rFonts w:ascii="Courier New" w:cs="Courier New" w:eastAsia="Courier New" w:hAnsi="Courier New"/>
          <w:b/>
          <w:bCs/>
          <w:color w:val="92400E"/>
          <w:sz w:val="20"/>
          <w:szCs w:val="20"/>
        </w:rPr>
        <w:t xml:space="preserve">log(μ) = γ0 + Σ γj · xj    (Tier 1 + Tier 2 features)</w:t>
      </w:r>
    </w:p>
    <w:p>
      <w:pPr>
        <w:spacing w:before="120" w:after="120"/>
        <w:ind w:left="720"/>
      </w:pPr>
      <w:r>
        <w:rPr>
          <w:rFonts w:ascii="Courier New" w:cs="Courier New" w:eastAsia="Courier New" w:hAnsi="Courier New"/>
          <w:b/>
          <w:bCs/>
          <w:color w:val="92400E"/>
          <w:sz w:val="20"/>
          <w:szCs w:val="20"/>
        </w:rPr>
        <w:t xml:space="preserve">μ = exp(γ0 + Σ γj · xj)</w:t>
      </w:r>
    </w:p>
    <w:p>
      <w:pPr>
        <w:spacing w:after="120"/>
        <w:jc w:val="left"/>
      </w:pPr>
      <w:r>
        <w:rPr>
          <w:rFonts w:ascii="Arial" w:cs="Arial" w:eastAsia="Arial" w:hAnsi="Arial"/>
          <w:b w:val="false"/>
          <w:bCs w:val="false"/>
          <w:i w:val="false"/>
          <w:iCs w:val="false"/>
          <w:color w:val="374151"/>
          <w:sz w:val="20"/>
          <w:szCs w:val="20"/>
        </w:rPr>
        <w:t xml:space="preserve">The Gamma distribution is right-skewed and strictly positive, matching the distribution of non-zero insurance claims. Mean severity for homeowners is typically $13,000–$16,000, with heavy right-tail from total losses and catastrophe events.</w:t>
      </w:r>
    </w:p>
    <w:p>
      <w:pPr>
        <w:pStyle w:val="Heading3"/>
        <w:spacing w:before="240" w:after="120"/>
      </w:pPr>
      <w:r>
        <w:rPr>
          <w:rFonts w:ascii="Arial" w:cs="Arial" w:eastAsia="Arial" w:hAnsi="Arial"/>
          <w:b/>
          <w:bCs/>
          <w:color w:val="6D28D9"/>
          <w:sz w:val="22"/>
          <w:szCs w:val="22"/>
        </w:rPr>
        <w:t xml:space="preserve">Stage 3: Interaction Multiplier (M̂)</w:t>
      </w:r>
    </w:p>
    <w:p>
      <w:pPr>
        <w:spacing w:after="120"/>
        <w:jc w:val="left"/>
      </w:pPr>
      <w:r>
        <w:rPr>
          <w:rFonts w:ascii="Arial" w:cs="Arial" w:eastAsia="Arial" w:hAnsi="Arial"/>
          <w:b w:val="false"/>
          <w:bCs w:val="false"/>
          <w:i w:val="false"/>
          <w:iCs w:val="false"/>
          <w:color w:val="374151"/>
          <w:sz w:val="20"/>
          <w:szCs w:val="20"/>
        </w:rPr>
        <w:t xml:space="preserve">The M̂ ensemble captures the multiplicative residual between actual losses and GLM predictions:</w:t>
      </w:r>
    </w:p>
    <w:p>
      <w:pPr>
        <w:spacing w:before="120" w:after="120"/>
        <w:ind w:left="720"/>
      </w:pPr>
      <w:r>
        <w:rPr>
          <w:rFonts w:ascii="Courier New" w:cs="Courier New" w:eastAsia="Courier New" w:hAnsi="Courier New"/>
          <w:b/>
          <w:bCs/>
          <w:color w:val="92400E"/>
          <w:sz w:val="20"/>
          <w:szCs w:val="20"/>
        </w:rPr>
        <w:t xml:space="preserve">M_actual(i) = Actual_Loss(i) / max(GLM_Pred(i), floor)</w:t>
      </w:r>
    </w:p>
    <w:p>
      <w:pPr>
        <w:spacing w:after="120"/>
        <w:jc w:val="left"/>
      </w:pPr>
      <w:r>
        <w:rPr>
          <w:rFonts w:ascii="Arial" w:cs="Arial" w:eastAsia="Arial" w:hAnsi="Arial"/>
          <w:b w:val="false"/>
          <w:bCs w:val="false"/>
          <w:i w:val="false"/>
          <w:iCs w:val="false"/>
          <w:color w:val="374151"/>
          <w:sz w:val="20"/>
          <w:szCs w:val="20"/>
        </w:rPr>
        <w:t xml:space="preserve">The training target M_actual &gt; 1.0 indicates the GLM under-predicted; M_actual &lt; 1.0 indicates over-prediction. The ensemble architecture is:</w:t>
      </w:r>
    </w:p>
    <w:p>
      <w:pPr>
        <w:spacing w:before="120" w:after="120"/>
        <w:ind w:left="720"/>
      </w:pPr>
      <w:r>
        <w:rPr>
          <w:rFonts w:ascii="Courier New" w:cs="Courier New" w:eastAsia="Courier New" w:hAnsi="Courier New"/>
          <w:b/>
          <w:bCs/>
          <w:color w:val="92400E"/>
          <w:sz w:val="20"/>
          <w:szCs w:val="20"/>
        </w:rPr>
        <w:t xml:space="preserve">M̂ = IsotonicMeta( RF(X_T3), XGB(X_T3), LGB(X_T3) )</w:t>
      </w:r>
    </w:p>
    <w:p>
      <w:pPr>
        <w:spacing w:after="120"/>
        <w:jc w:val="left"/>
      </w:pPr>
      <w:r>
        <w:rPr>
          <w:rFonts w:ascii="Arial" w:cs="Arial" w:eastAsia="Arial" w:hAnsi="Arial"/>
          <w:b w:val="false"/>
          <w:bCs w:val="false"/>
          <w:i w:val="false"/>
          <w:iCs w:val="false"/>
          <w:color w:val="374151"/>
          <w:sz w:val="20"/>
          <w:szCs w:val="20"/>
        </w:rPr>
        <w:t xml:space="preserve">Where X_T3 includes only Tier 3 features: wildfire_zone, roof_material, flood_zone, dist_to_coast_mi, construction_type, roof_age_yr, earthquake_zone, state, dist_to_fire_station_mi, and additional hazard variables. The meta-learner uses isotonic regression to ensure monotonicity (higher base-model predictions produce weakly higher M̂).</w:t>
      </w:r>
    </w:p>
    <w:p>
      <w:pPr>
        <w:shd w:fill="EFF6FF" w:val="clear"/>
        <w:spacing w:before="80" w:after="120"/>
        <w:ind w:left="360"/>
      </w:pPr>
      <w:r>
        <w:rPr>
          <w:rFonts w:ascii="Arial" w:cs="Arial" w:eastAsia="Arial" w:hAnsi="Arial"/>
          <w:i/>
          <w:iCs/>
          <w:color w:val="1D4ED8"/>
          <w:sz w:val="18"/>
          <w:szCs w:val="18"/>
        </w:rPr>
        <w:t xml:space="preserve">Design choice: The M̂ ensemble sees only Tier 3 features. Tier 1 and Tier 2 are already captured by the GLM. This prevents double-counting and ensures M̂ exclusively captures interaction effects.</w:t>
      </w:r>
    </w:p>
    <w:p>
      <w:pPr>
        <w:pStyle w:val="Heading3"/>
        <w:spacing w:before="240" w:after="120"/>
      </w:pPr>
      <w:r>
        <w:rPr>
          <w:rFonts w:ascii="Arial" w:cs="Arial" w:eastAsia="Arial" w:hAnsi="Arial"/>
          <w:b/>
          <w:bCs/>
          <w:color w:val="6D28D9"/>
          <w:sz w:val="22"/>
          <w:szCs w:val="22"/>
        </w:rPr>
        <w:t xml:space="preserve">Stage 4: Expected Loss and Premium</w:t>
      </w:r>
    </w:p>
    <w:p>
      <w:pPr>
        <w:spacing w:before="120" w:after="120"/>
        <w:ind w:left="720"/>
      </w:pPr>
      <w:r>
        <w:rPr>
          <w:rFonts w:ascii="Courier New" w:cs="Courier New" w:eastAsia="Courier New" w:hAnsi="Courier New"/>
          <w:b/>
          <w:bCs/>
          <w:color w:val="92400E"/>
          <w:sz w:val="20"/>
          <w:szCs w:val="20"/>
        </w:rPr>
        <w:t xml:space="preserve">E[L] = λ × μ × M̂</w:t>
      </w:r>
    </w:p>
    <w:p>
      <w:pPr>
        <w:spacing w:before="120" w:after="120"/>
        <w:ind w:left="720"/>
      </w:pPr>
      <w:r>
        <w:rPr>
          <w:rFonts w:ascii="Courier New" w:cs="Courier New" w:eastAsia="Courier New" w:hAnsi="Courier New"/>
          <w:b/>
          <w:bCs/>
          <w:color w:val="92400E"/>
          <w:sz w:val="20"/>
          <w:szCs w:val="20"/>
        </w:rPr>
        <w:t xml:space="preserve">Premium = E[L] / Target_Loss_Ratio</w:t>
      </w:r>
    </w:p>
    <w:p>
      <w:pPr>
        <w:spacing w:after="120"/>
        <w:jc w:val="left"/>
      </w:pPr>
      <w:r>
        <w:rPr>
          <w:rFonts w:ascii="Arial" w:cs="Arial" w:eastAsia="Arial" w:hAnsi="Arial"/>
          <w:b w:val="false"/>
          <w:bCs w:val="false"/>
          <w:i w:val="false"/>
          <w:iCs w:val="false"/>
          <w:color w:val="374151"/>
          <w:sz w:val="20"/>
          <w:szCs w:val="20"/>
        </w:rPr>
        <w:t xml:space="preserve">The default target loss ratio is 0.65 (65%), meaning for every dollar of premium, $0.65 is allocated to expected claims, with the remainder covering expenses, commissions, and profit margin.</w:t>
      </w:r>
    </w:p>
    <w:p>
      <w:pPr>
        <w:spacing w:after="120"/>
        <w:jc w:val="left"/>
      </w:pPr>
      <w:r>
        <w:rPr>
          <w:rFonts w:ascii="Arial" w:cs="Arial" w:eastAsia="Arial" w:hAnsi="Arial"/>
          <w:b w:val="false"/>
          <w:bCs w:val="false"/>
          <w:i w:val="false"/>
          <w:iCs w:val="false"/>
          <w:color w:val="374151"/>
          <w:sz w:val="20"/>
          <w:szCs w:val="20"/>
        </w:rPr>
        <w:t xml:space="preserve">Risk scoring uses a composite formula:</w:t>
      </w:r>
    </w:p>
    <w:p>
      <w:pPr>
        <w:spacing w:before="120" w:after="120"/>
        <w:ind w:left="720"/>
      </w:pPr>
      <w:r>
        <w:rPr>
          <w:rFonts w:ascii="Courier New" w:cs="Courier New" w:eastAsia="Courier New" w:hAnsi="Courier New"/>
          <w:b/>
          <w:bCs/>
          <w:color w:val="92400E"/>
          <w:sz w:val="20"/>
          <w:szCs w:val="20"/>
        </w:rPr>
        <w:t xml:space="preserve">Score_A1 = min(1000, (E[L] / scale_factor) × 1000)</w:t>
      </w:r>
    </w:p>
    <w:p>
      <w:pPr>
        <w:spacing w:before="120" w:after="120"/>
        <w:ind w:left="720"/>
      </w:pPr>
      <w:r>
        <w:rPr>
          <w:rFonts w:ascii="Courier New" w:cs="Courier New" w:eastAsia="Courier New" w:hAnsi="Courier New"/>
          <w:b/>
          <w:bCs/>
          <w:color w:val="92400E"/>
          <w:sz w:val="20"/>
          <w:szCs w:val="20"/>
        </w:rPr>
        <w:t xml:space="preserve">Score_A2 = Freq_Score × w_freq + Sev_Score × w_sev</w:t>
      </w:r>
    </w:p>
    <w:p>
      <w:pPr>
        <w:spacing w:after="120"/>
        <w:jc w:val="left"/>
      </w:pPr>
      <w:r>
        <w:rPr>
          <w:rFonts w:ascii="Arial" w:cs="Arial" w:eastAsia="Arial" w:hAnsi="Arial"/>
          <w:b w:val="false"/>
          <w:bCs w:val="false"/>
          <w:i w:val="false"/>
          <w:iCs w:val="false"/>
          <w:color w:val="374151"/>
          <w:sz w:val="20"/>
          <w:szCs w:val="20"/>
        </w:rPr>
        <w:t xml:space="preserve">Score A1 is the primary headline score (0–1000 scale). Score A2 provides a component-weighted view separating frequency and severity contributions.</w:t>
      </w:r>
    </w:p>
    <w:p>
      <w:pPr>
        <w:pStyle w:val="Heading2"/>
        <w:spacing w:before="300" w:after="160"/>
      </w:pPr>
      <w:r>
        <w:rPr>
          <w:rFonts w:ascii="Arial" w:cs="Arial" w:eastAsia="Arial" w:hAnsi="Arial"/>
          <w:b/>
          <w:bCs/>
          <w:color w:val="1D4ED8"/>
          <w:sz w:val="26"/>
          <w:szCs w:val="26"/>
        </w:rPr>
        <w:t xml:space="preserve">4.2 Risk Band Classification</w:t>
      </w:r>
    </w:p>
    <w:p>
      <w:pPr>
        <w:spacing w:after="120"/>
        <w:jc w:val="left"/>
      </w:pPr>
      <w:r>
        <w:rPr>
          <w:rFonts w:ascii="Arial" w:cs="Arial" w:eastAsia="Arial" w:hAnsi="Arial"/>
          <w:b w:val="false"/>
          <w:bCs w:val="false"/>
          <w:i w:val="false"/>
          <w:iCs w:val="false"/>
          <w:color w:val="374151"/>
          <w:sz w:val="20"/>
          <w:szCs w:val="20"/>
        </w:rPr>
        <w:t xml:space="preserve">The 0–1000 risk score maps to five underwriting triage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360"/>
        <w:gridCol w:w="3000"/>
      </w:tblGrid>
      <w:tr>
        <w:tc>
          <w:tcPr>
            <w:tcW w:type="dxa" w:w="15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Band</w:t>
            </w:r>
          </w:p>
        </w:tc>
        <w:tc>
          <w:tcPr>
            <w:tcW w:type="dxa" w:w="15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 Range</w:t>
            </w:r>
          </w:p>
        </w:tc>
        <w:tc>
          <w:tcPr>
            <w:tcW w:type="dxa" w:w="3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UW Action</w:t>
            </w:r>
          </w:p>
        </w:tc>
        <w:tc>
          <w:tcPr>
            <w:tcW w:type="dxa" w:w="3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Volume</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Very Low</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0–200</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Auto-bind at standard rates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~25% of portfolio</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Low</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200–400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Auto-bind; preferred tier eligible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~30%</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Moderate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400–600</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Manual review recommended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~25%</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High</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600–800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Refer to underwriter; surcharge or conditions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Very High</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800–1000</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Auto-decline or Chief UW override required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r>
    </w:tbl>
    <w:p>
      <w:pPr>
        <w:spacing w:after="120"/>
        <w:jc w:val="left"/>
      </w:pPr>
      <w:r>
        <w:rPr>
          <w:rFonts w:ascii="Arial" w:cs="Arial" w:eastAsia="Arial" w:hAnsi="Arial"/>
          <w:b w:val="false"/>
          <w:bCs w:val="false"/>
          <w:i w:val="false"/>
          <w:iCs w:val="false"/>
          <w:color w:val="374151"/>
          <w:sz w:val="20"/>
          <w:szCs w:val="20"/>
        </w:rPr>
        <w:t xml:space="preserve"/>
      </w:r>
    </w:p>
    <w:p>
      <w:pPr>
        <w:spacing w:after="120"/>
        <w:jc w:val="left"/>
      </w:pPr>
      <w:r>
        <w:rPr>
          <w:rFonts w:ascii="Arial" w:cs="Arial" w:eastAsia="Arial" w:hAnsi="Arial"/>
          <w:b w:val="false"/>
          <w:bCs w:val="false"/>
          <w:i w:val="false"/>
          <w:iCs w:val="false"/>
          <w:color w:val="374151"/>
          <w:sz w:val="20"/>
          <w:szCs w:val="20"/>
        </w:rPr>
        <w:t xml:space="preserve">The band thresholds are configurable via the sidebar. Carriers typically adjust them to match their appetite and target straight-through processing rates.</w:t>
      </w:r>
    </w:p>
    <w:p>
      <w:pPr>
        <w:pStyle w:val="Heading2"/>
        <w:spacing w:before="300" w:after="160"/>
      </w:pPr>
      <w:r>
        <w:rPr>
          <w:rFonts w:ascii="Arial" w:cs="Arial" w:eastAsia="Arial" w:hAnsi="Arial"/>
          <w:b/>
          <w:bCs/>
          <w:color w:val="1D4ED8"/>
          <w:sz w:val="26"/>
          <w:szCs w:val="26"/>
        </w:rPr>
        <w:t xml:space="preserve">4.3 Interaction Term Mathematics</w:t>
      </w:r>
    </w:p>
    <w:p>
      <w:pPr>
        <w:spacing w:after="120"/>
        <w:jc w:val="left"/>
      </w:pPr>
      <w:r>
        <w:rPr>
          <w:rFonts w:ascii="Arial" w:cs="Arial" w:eastAsia="Arial" w:hAnsi="Arial"/>
          <w:b w:val="false"/>
          <w:bCs w:val="false"/>
          <w:i w:val="false"/>
          <w:iCs w:val="false"/>
          <w:color w:val="374151"/>
          <w:sz w:val="20"/>
          <w:szCs w:val="20"/>
        </w:rPr>
        <w:t xml:space="preserve">For a GLM with an explicit interaction term, the linear predictor becomes:</w:t>
      </w:r>
    </w:p>
    <w:p>
      <w:pPr>
        <w:spacing w:before="120" w:after="120"/>
        <w:ind w:left="720"/>
      </w:pPr>
      <w:r>
        <w:rPr>
          <w:rFonts w:ascii="Courier New" w:cs="Courier New" w:eastAsia="Courier New" w:hAnsi="Courier New"/>
          <w:b/>
          <w:bCs/>
          <w:color w:val="92400E"/>
          <w:sz w:val="20"/>
          <w:szCs w:val="20"/>
        </w:rPr>
        <w:t xml:space="preserve">η = β0 + β1·x1 + β2·x2 + β12·(x1 × x2)</w:t>
      </w:r>
    </w:p>
    <w:p>
      <w:pPr>
        <w:spacing w:after="120"/>
        <w:jc w:val="left"/>
      </w:pPr>
      <w:r>
        <w:rPr>
          <w:rFonts w:ascii="Arial" w:cs="Arial" w:eastAsia="Arial" w:hAnsi="Arial"/>
          <w:b w:val="false"/>
          <w:bCs w:val="false"/>
          <w:i w:val="false"/>
          <w:iCs w:val="false"/>
          <w:color w:val="374151"/>
          <w:sz w:val="20"/>
          <w:szCs w:val="20"/>
        </w:rPr>
        <w:t xml:space="preserve">Under the log link, this translates to:</w:t>
      </w:r>
    </w:p>
    <w:p>
      <w:pPr>
        <w:spacing w:before="120" w:after="120"/>
        <w:ind w:left="720"/>
      </w:pPr>
      <w:r>
        <w:rPr>
          <w:rFonts w:ascii="Courier New" w:cs="Courier New" w:eastAsia="Courier New" w:hAnsi="Courier New"/>
          <w:b/>
          <w:bCs/>
          <w:color w:val="92400E"/>
          <w:sz w:val="20"/>
          <w:szCs w:val="20"/>
        </w:rPr>
        <w:t xml:space="preserve">μ = exp(β0) × exp(β1·x1) × exp(β2·x2) × exp(β12·x1·x2)</w:t>
      </w:r>
    </w:p>
    <w:p>
      <w:pPr>
        <w:spacing w:after="120"/>
        <w:jc w:val="left"/>
      </w:pPr>
      <w:r>
        <w:rPr>
          <w:rFonts w:ascii="Arial" w:cs="Arial" w:eastAsia="Arial" w:hAnsi="Arial"/>
          <w:b w:val="false"/>
          <w:bCs w:val="false"/>
          <w:i w:val="false"/>
          <w:iCs w:val="false"/>
          <w:color w:val="374151"/>
          <w:sz w:val="20"/>
          <w:szCs w:val="20"/>
        </w:rPr>
        <w:t xml:space="preserve">The interaction term exp(β12·x1·x2) creates a super-multiplicative effect. For the roof × wildfire interaction:</w:t>
      </w:r>
    </w:p>
    <w:p>
      <w:pPr>
        <w:pStyle w:val="ListParagraph"/>
        <w:numPr>
          <w:ilvl w:val="0"/>
          <w:numId w:val="2"/>
        </w:numPr>
        <w:spacing w:after="80"/>
      </w:pPr>
      <w:r>
        <w:rPr>
          <w:rFonts w:ascii="Arial" w:cs="Arial" w:eastAsia="Arial" w:hAnsi="Arial"/>
          <w:color w:val="374151"/>
          <w:sz w:val="20"/>
          <w:szCs w:val="20"/>
        </w:rPr>
        <w:t xml:space="preserve">If β_roof = 0.20, β_wildfire = 0.30, β_interaction = 0.15:</w:t>
      </w:r>
    </w:p>
    <w:p>
      <w:pPr>
        <w:pStyle w:val="ListParagraph"/>
        <w:numPr>
          <w:ilvl w:val="0"/>
          <w:numId w:val="2"/>
        </w:numPr>
        <w:spacing w:after="80"/>
      </w:pPr>
      <w:r>
        <w:rPr>
          <w:rFonts w:ascii="Arial" w:cs="Arial" w:eastAsia="Arial" w:hAnsi="Arial"/>
          <w:color w:val="374151"/>
          <w:sz w:val="20"/>
          <w:szCs w:val="20"/>
        </w:rPr>
        <w:t xml:space="preserve">Additive-only prediction: exp(0.20 + 0.30) = exp(0.50) ≈ 1.65×</w:t>
      </w:r>
    </w:p>
    <w:p>
      <w:pPr>
        <w:pStyle w:val="ListParagraph"/>
        <w:numPr>
          <w:ilvl w:val="0"/>
          <w:numId w:val="2"/>
        </w:numPr>
        <w:spacing w:after="80"/>
      </w:pPr>
      <w:r>
        <w:rPr>
          <w:rFonts w:ascii="Arial" w:cs="Arial" w:eastAsia="Arial" w:hAnsi="Arial"/>
          <w:color w:val="374151"/>
          <w:sz w:val="20"/>
          <w:szCs w:val="20"/>
        </w:rPr>
        <w:t xml:space="preserve">With interaction: exp(0.20 + 0.30 + 0.15) = exp(0.65) ≈ 1.92×</w:t>
      </w:r>
    </w:p>
    <w:p>
      <w:pPr>
        <w:pStyle w:val="ListParagraph"/>
        <w:numPr>
          <w:ilvl w:val="0"/>
          <w:numId w:val="2"/>
        </w:numPr>
        <w:spacing w:after="80"/>
      </w:pPr>
      <w:r>
        <w:rPr>
          <w:rFonts w:ascii="Arial" w:cs="Arial" w:eastAsia="Arial" w:hAnsi="Arial"/>
          <w:color w:val="374151"/>
          <w:sz w:val="20"/>
          <w:szCs w:val="20"/>
        </w:rPr>
        <w:t xml:space="preserve">The gap: 1.92 − 1.65 = 0.27× (27 percentage points of unpriced risk)</w:t>
      </w:r>
    </w:p>
    <w:p>
      <w:pPr>
        <w:spacing w:after="120"/>
        <w:jc w:val="left"/>
      </w:pPr>
      <w:r>
        <w:rPr>
          <w:rFonts w:ascii="Arial" w:cs="Arial" w:eastAsia="Arial" w:hAnsi="Arial"/>
          <w:b w:val="false"/>
          <w:bCs w:val="false"/>
          <w:i w:val="false"/>
          <w:iCs w:val="false"/>
          <w:color w:val="374151"/>
          <w:sz w:val="20"/>
          <w:szCs w:val="20"/>
        </w:rPr>
        <w:t xml:space="preserve">This 27-percentage-point gap is the Tier 3 value proposition in a single number. Multiplied across a $250M book, it represents millions in mispriced exposure.</w:t>
      </w:r>
    </w:p>
    <w:p>
      <w:pPr>
        <w:pStyle w:val="Heading2"/>
        <w:spacing w:before="300" w:after="160"/>
      </w:pPr>
      <w:r>
        <w:rPr>
          <w:rFonts w:ascii="Arial" w:cs="Arial" w:eastAsia="Arial" w:hAnsi="Arial"/>
          <w:b/>
          <w:bCs/>
          <w:color w:val="1D4ED8"/>
          <w:sz w:val="26"/>
          <w:szCs w:val="26"/>
        </w:rPr>
        <w:t xml:space="preserve">4.4 Statistical Validation</w:t>
      </w:r>
    </w:p>
    <w:p>
      <w:pPr>
        <w:spacing w:after="120"/>
        <w:jc w:val="left"/>
      </w:pPr>
      <w:r>
        <w:rPr>
          <w:rFonts w:ascii="Arial" w:cs="Arial" w:eastAsia="Arial" w:hAnsi="Arial"/>
          <w:b w:val="false"/>
          <w:bCs w:val="false"/>
          <w:i w:val="false"/>
          <w:iCs w:val="false"/>
          <w:color w:val="374151"/>
          <w:sz w:val="20"/>
          <w:szCs w:val="20"/>
        </w:rPr>
        <w:t xml:space="preserve">Interaction terms are validated using established actuarial protocols:</w:t>
      </w:r>
    </w:p>
    <w:p>
      <w:pPr>
        <w:pStyle w:val="ListParagraph"/>
        <w:numPr>
          <w:ilvl w:val="0"/>
          <w:numId w:val="2"/>
        </w:numPr>
        <w:spacing w:after="80"/>
      </w:pPr>
      <w:r>
        <w:rPr>
          <w:rFonts w:ascii="Arial" w:cs="Arial" w:eastAsia="Arial" w:hAnsi="Arial"/>
          <w:b/>
          <w:bCs/>
          <w:color w:val="374151"/>
          <w:sz w:val="20"/>
          <w:szCs w:val="20"/>
        </w:rPr>
        <w:t xml:space="preserve">Likelihood Ratio Test (LRT): </w:t>
      </w:r>
      <w:r>
        <w:rPr>
          <w:rFonts w:ascii="Arial" w:cs="Arial" w:eastAsia="Arial" w:hAnsi="Arial"/>
          <w:color w:val="374151"/>
          <w:sz w:val="20"/>
          <w:szCs w:val="20"/>
        </w:rPr>
        <w:t xml:space="preserve">Λ = 2[ℓ(full) − ℓ(reduced)] ~ χ²(k), where k is the number of added interaction parameters. Standard actuarial practice requires p &lt; 0.01 and meaningful business interpretation.</w:t>
      </w:r>
    </w:p>
    <w:p>
      <w:pPr>
        <w:pStyle w:val="ListParagraph"/>
        <w:numPr>
          <w:ilvl w:val="0"/>
          <w:numId w:val="2"/>
        </w:numPr>
        <w:spacing w:after="80"/>
      </w:pPr>
      <w:r>
        <w:rPr>
          <w:rFonts w:ascii="Arial" w:cs="Arial" w:eastAsia="Arial" w:hAnsi="Arial"/>
          <w:b/>
          <w:bCs/>
          <w:color w:val="374151"/>
          <w:sz w:val="20"/>
          <w:szCs w:val="20"/>
        </w:rPr>
        <w:t xml:space="preserve">Deviance reduction: </w:t>
      </w:r>
      <w:r>
        <w:rPr>
          <w:rFonts w:ascii="Arial" w:cs="Arial" w:eastAsia="Arial" w:hAnsi="Arial"/>
          <w:color w:val="374151"/>
          <w:sz w:val="20"/>
          <w:szCs w:val="20"/>
        </w:rPr>
        <w:t xml:space="preserve">Each interaction group should reduce deviance by &gt;1–2% of null deviance to be considered material.</w:t>
      </w:r>
    </w:p>
    <w:p>
      <w:pPr>
        <w:pStyle w:val="ListParagraph"/>
        <w:numPr>
          <w:ilvl w:val="0"/>
          <w:numId w:val="2"/>
        </w:numPr>
        <w:spacing w:after="80"/>
      </w:pPr>
      <w:r>
        <w:rPr>
          <w:rFonts w:ascii="Arial" w:cs="Arial" w:eastAsia="Arial" w:hAnsi="Arial"/>
          <w:b/>
          <w:bCs/>
          <w:color w:val="374151"/>
          <w:sz w:val="20"/>
          <w:szCs w:val="20"/>
        </w:rPr>
        <w:t xml:space="preserve">Cross-validation: </w:t>
      </w:r>
      <w:r>
        <w:rPr>
          <w:rFonts w:ascii="Arial" w:cs="Arial" w:eastAsia="Arial" w:hAnsi="Arial"/>
          <w:color w:val="374151"/>
          <w:sz w:val="20"/>
          <w:szCs w:val="20"/>
        </w:rPr>
        <w:t xml:space="preserve">5-fold CV confirms out-of-sample improvement. AIC differences &gt;10 constitute strong evidence for the fuller model.</w:t>
      </w:r>
    </w:p>
    <w:p>
      <w:pPr>
        <w:pStyle w:val="ListParagraph"/>
        <w:numPr>
          <w:ilvl w:val="0"/>
          <w:numId w:val="2"/>
        </w:numPr>
        <w:spacing w:after="80"/>
      </w:pPr>
      <w:r>
        <w:rPr>
          <w:rFonts w:ascii="Arial" w:cs="Arial" w:eastAsia="Arial" w:hAnsi="Arial"/>
          <w:b/>
          <w:bCs/>
          <w:color w:val="374151"/>
          <w:sz w:val="20"/>
          <w:szCs w:val="20"/>
        </w:rPr>
        <w:t xml:space="preserve">SHAP interaction values: </w:t>
      </w:r>
      <w:r>
        <w:rPr>
          <w:rFonts w:ascii="Arial" w:cs="Arial" w:eastAsia="Arial" w:hAnsi="Arial"/>
          <w:color w:val="374151"/>
          <w:sz w:val="20"/>
          <w:szCs w:val="20"/>
        </w:rPr>
        <w:t xml:space="preserve">TreeExplainer decomposes predictions into main effects and pairwise interactions, identifying which feature pairs interact most strongly.</w:t>
      </w:r>
    </w:p>
    <w:p>
      <w:r>
        <w:br w:type="page"/>
      </w:r>
    </w:p>
    <w:p>
      <w:pPr>
        <w:pStyle w:val="Heading1"/>
        <w:spacing w:before="360" w:after="200"/>
      </w:pPr>
      <w:r>
        <w:rPr>
          <w:rFonts w:ascii="Arial" w:cs="Arial" w:eastAsia="Arial" w:hAnsi="Arial"/>
          <w:b/>
          <w:bCs/>
          <w:color w:val="0F172A"/>
          <w:sz w:val="32"/>
          <w:szCs w:val="32"/>
        </w:rPr>
        <w:t xml:space="preserve">5. Application Walkthrough: Tab-by-Tab Reference</w:t>
      </w:r>
    </w:p>
    <w:p>
      <w:pPr>
        <w:spacing w:after="120"/>
        <w:jc w:val="left"/>
      </w:pPr>
      <w:r>
        <w:rPr>
          <w:rFonts w:ascii="Arial" w:cs="Arial" w:eastAsia="Arial" w:hAnsi="Arial"/>
          <w:b w:val="false"/>
          <w:bCs w:val="false"/>
          <w:i w:val="false"/>
          <w:iCs w:val="false"/>
          <w:color w:val="374151"/>
          <w:sz w:val="20"/>
          <w:szCs w:val="20"/>
        </w:rPr>
        <w:t xml:space="preserve">This section provides a complete walkthrough of the Streamlit application, covering every tab, sub-tab, card, visual, slider, button, and output. For each component, both the technical implementation and business context are explained.</w:t>
      </w:r>
    </w:p>
    <w:p>
      <w:pPr>
        <w:spacing w:after="120"/>
        <w:jc w:val="left"/>
      </w:pPr>
      <w:r>
        <w:rPr>
          <w:rFonts w:ascii="Arial" w:cs="Arial" w:eastAsia="Arial" w:hAnsi="Arial"/>
          <w:b w:val="false"/>
          <w:bCs w:val="false"/>
          <w:i w:val="false"/>
          <w:iCs w:val="false"/>
          <w:color w:val="374151"/>
          <w:sz w:val="20"/>
          <w:szCs w:val="20"/>
        </w:rPr>
        <w:t xml:space="preserve">The application has six main tabs, accessible via the top navigation bar. Several tabs contain sub-tabs for content organisation.</w:t>
      </w:r>
    </w:p>
    <w:p>
      <w:pPr>
        <w:pStyle w:val="Heading2"/>
        <w:spacing w:before="300" w:after="160"/>
      </w:pPr>
      <w:r>
        <w:rPr>
          <w:rFonts w:ascii="Arial" w:cs="Arial" w:eastAsia="Arial" w:hAnsi="Arial"/>
          <w:b/>
          <w:bCs/>
          <w:color w:val="1D4ED8"/>
          <w:sz w:val="26"/>
          <w:szCs w:val="26"/>
        </w:rPr>
        <w:t xml:space="preserve">5.1 Sidebar: Configuration Panel</w:t>
      </w:r>
    </w:p>
    <w:p>
      <w:pPr>
        <w:spacing w:after="120"/>
        <w:jc w:val="left"/>
      </w:pPr>
      <w:r>
        <w:rPr>
          <w:rFonts w:ascii="Arial" w:cs="Arial" w:eastAsia="Arial" w:hAnsi="Arial"/>
          <w:b w:val="false"/>
          <w:bCs w:val="false"/>
          <w:i w:val="false"/>
          <w:iCs w:val="false"/>
          <w:color w:val="374151"/>
          <w:sz w:val="20"/>
          <w:szCs w:val="20"/>
        </w:rPr>
        <w:t xml:space="preserve">The left sidebar contains global configuration parameters that affect all scoring throughout the application. These are intentionally exposed to demonstrate model tunability for carrier prospects.</w:t>
      </w:r>
    </w:p>
    <w:p>
      <w:pPr>
        <w:pStyle w:val="Heading3"/>
        <w:spacing w:before="240" w:after="120"/>
      </w:pPr>
      <w:r>
        <w:rPr>
          <w:rFonts w:ascii="Arial" w:cs="Arial" w:eastAsia="Arial" w:hAnsi="Arial"/>
          <w:b/>
          <w:bCs/>
          <w:color w:val="6D28D9"/>
          <w:sz w:val="22"/>
          <w:szCs w:val="22"/>
        </w:rPr>
        <w:t xml:space="preserve">Pricing Assumptions</w:t>
      </w:r>
    </w:p>
    <w:p>
      <w:pPr>
        <w:pStyle w:val="ListParagraph"/>
        <w:numPr>
          <w:ilvl w:val="0"/>
          <w:numId w:val="2"/>
        </w:numPr>
        <w:spacing w:after="80"/>
      </w:pPr>
      <w:r>
        <w:rPr>
          <w:rFonts w:ascii="Arial" w:cs="Arial" w:eastAsia="Arial" w:hAnsi="Arial"/>
          <w:b/>
          <w:bCs/>
          <w:color w:val="374151"/>
          <w:sz w:val="20"/>
          <w:szCs w:val="20"/>
        </w:rPr>
        <w:t xml:space="preserve">Target Loss Ratio (slider, 0.50–0.85, default 0.65): </w:t>
      </w:r>
      <w:r>
        <w:rPr>
          <w:rFonts w:ascii="Arial" w:cs="Arial" w:eastAsia="Arial" w:hAnsi="Arial"/>
          <w:color w:val="374151"/>
          <w:sz w:val="20"/>
          <w:szCs w:val="20"/>
        </w:rPr>
        <w:t xml:space="preserve">The denominator in the premium formula. A lower LR means more conservative pricing (higher premiums). Carriers typically target 60–70% depending on line profitability.</w:t>
      </w:r>
    </w:p>
    <w:p>
      <w:pPr>
        <w:pStyle w:val="ListParagraph"/>
        <w:numPr>
          <w:ilvl w:val="0"/>
          <w:numId w:val="2"/>
        </w:numPr>
        <w:spacing w:after="80"/>
      </w:pPr>
      <w:r>
        <w:rPr>
          <w:rFonts w:ascii="Arial" w:cs="Arial" w:eastAsia="Arial" w:hAnsi="Arial"/>
          <w:b/>
          <w:bCs/>
          <w:color w:val="374151"/>
          <w:sz w:val="20"/>
          <w:szCs w:val="20"/>
        </w:rPr>
        <w:t xml:space="preserve">Expense Load (slider, 0.00–0.25, default 0.00): </w:t>
      </w:r>
      <w:r>
        <w:rPr>
          <w:rFonts w:ascii="Arial" w:cs="Arial" w:eastAsia="Arial" w:hAnsi="Arial"/>
          <w:color w:val="374151"/>
          <w:sz w:val="20"/>
          <w:szCs w:val="20"/>
        </w:rPr>
        <w:t xml:space="preserve">Additional loading for commissions, operating expenses, and profit margin. Applied multiplicatively to the base premium.</w:t>
      </w:r>
    </w:p>
    <w:p>
      <w:pPr>
        <w:pStyle w:val="Heading3"/>
        <w:spacing w:before="240" w:after="120"/>
      </w:pPr>
      <w:r>
        <w:rPr>
          <w:rFonts w:ascii="Arial" w:cs="Arial" w:eastAsia="Arial" w:hAnsi="Arial"/>
          <w:b/>
          <w:bCs/>
          <w:color w:val="6D28D9"/>
          <w:sz w:val="22"/>
          <w:szCs w:val="22"/>
        </w:rPr>
        <w:t xml:space="preserve">Scoring Parameters</w:t>
      </w:r>
    </w:p>
    <w:p>
      <w:pPr>
        <w:pStyle w:val="ListParagraph"/>
        <w:numPr>
          <w:ilvl w:val="0"/>
          <w:numId w:val="2"/>
        </w:numPr>
        <w:spacing w:after="80"/>
      </w:pPr>
      <w:r>
        <w:rPr>
          <w:rFonts w:ascii="Arial" w:cs="Arial" w:eastAsia="Arial" w:hAnsi="Arial"/>
          <w:b/>
          <w:bCs/>
          <w:color w:val="374151"/>
          <w:sz w:val="20"/>
          <w:szCs w:val="20"/>
        </w:rPr>
        <w:t xml:space="preserve">Frequency Weight (slider, 0.30–0.70, default 0.50): </w:t>
      </w:r>
      <w:r>
        <w:rPr>
          <w:rFonts w:ascii="Arial" w:cs="Arial" w:eastAsia="Arial" w:hAnsi="Arial"/>
          <w:color w:val="374151"/>
          <w:sz w:val="20"/>
          <w:szCs w:val="20"/>
        </w:rPr>
        <w:t xml:space="preserve">Controls the frequency-vs-severity weighting in Score A2 (component view). A higher frequency weight emphasises claim probability over claim size.</w:t>
      </w:r>
    </w:p>
    <w:p>
      <w:pPr>
        <w:pStyle w:val="ListParagraph"/>
        <w:numPr>
          <w:ilvl w:val="0"/>
          <w:numId w:val="2"/>
        </w:numPr>
        <w:spacing w:after="80"/>
      </w:pPr>
      <w:r>
        <w:rPr>
          <w:rFonts w:ascii="Arial" w:cs="Arial" w:eastAsia="Arial" w:hAnsi="Arial"/>
          <w:b/>
          <w:bCs/>
          <w:color w:val="374151"/>
          <w:sz w:val="20"/>
          <w:szCs w:val="20"/>
        </w:rPr>
        <w:t xml:space="preserve">Lambda Cap / Severity Cap: </w:t>
      </w:r>
      <w:r>
        <w:rPr>
          <w:rFonts w:ascii="Arial" w:cs="Arial" w:eastAsia="Arial" w:hAnsi="Arial"/>
          <w:color w:val="374151"/>
          <w:sz w:val="20"/>
          <w:szCs w:val="20"/>
        </w:rPr>
        <w:t xml:space="preserve">Upper bounds on frequency and severity predictions to prevent extreme outliers from producing unrealistic scores. Default lambda cap is 0.50; severity cap is $200,000.</w:t>
      </w:r>
    </w:p>
    <w:p>
      <w:pPr>
        <w:pStyle w:val="Heading3"/>
        <w:spacing w:before="240" w:after="120"/>
      </w:pPr>
      <w:r>
        <w:rPr>
          <w:rFonts w:ascii="Arial" w:cs="Arial" w:eastAsia="Arial" w:hAnsi="Arial"/>
          <w:b/>
          <w:bCs/>
          <w:color w:val="6D28D9"/>
          <w:sz w:val="22"/>
          <w:szCs w:val="22"/>
        </w:rPr>
        <w:t xml:space="preserve">Interaction Override Sliders</w:t>
      </w:r>
    </w:p>
    <w:p>
      <w:pPr>
        <w:spacing w:after="120"/>
        <w:jc w:val="left"/>
      </w:pPr>
      <w:r>
        <w:rPr>
          <w:rFonts w:ascii="Arial" w:cs="Arial" w:eastAsia="Arial" w:hAnsi="Arial"/>
          <w:b w:val="false"/>
          <w:bCs w:val="false"/>
          <w:i w:val="false"/>
          <w:iCs w:val="false"/>
          <w:color w:val="374151"/>
          <w:sz w:val="20"/>
          <w:szCs w:val="20"/>
        </w:rPr>
        <w:t xml:space="preserve">The sidebar exposes individual override sliders for each named interaction multiplier. This allows the demo operator to:</w:t>
      </w:r>
    </w:p>
    <w:p>
      <w:pPr>
        <w:pStyle w:val="ListParagraph"/>
        <w:numPr>
          <w:ilvl w:val="0"/>
          <w:numId w:val="2"/>
        </w:numPr>
        <w:spacing w:after="80"/>
      </w:pPr>
      <w:r>
        <w:rPr>
          <w:rFonts w:ascii="Arial" w:cs="Arial" w:eastAsia="Arial" w:hAnsi="Arial"/>
          <w:color w:val="374151"/>
          <w:sz w:val="20"/>
          <w:szCs w:val="20"/>
        </w:rPr>
        <w:t xml:space="preserve">Tune multipliers to match a specific carrier’s loss experience or appetite.</w:t>
      </w:r>
    </w:p>
    <w:p>
      <w:pPr>
        <w:pStyle w:val="ListParagraph"/>
        <w:numPr>
          <w:ilvl w:val="0"/>
          <w:numId w:val="2"/>
        </w:numPr>
        <w:spacing w:after="80"/>
      </w:pPr>
      <w:r>
        <w:rPr>
          <w:rFonts w:ascii="Arial" w:cs="Arial" w:eastAsia="Arial" w:hAnsi="Arial"/>
          <w:color w:val="374151"/>
          <w:sz w:val="20"/>
          <w:szCs w:val="20"/>
        </w:rPr>
        <w:t xml:space="preserve">Demonstrate sensitivity: “What if the wood-shake wildfire interaction is ×4.00 instead of ×3.50?”</w:t>
      </w:r>
    </w:p>
    <w:p>
      <w:pPr>
        <w:pStyle w:val="ListParagraph"/>
        <w:numPr>
          <w:ilvl w:val="0"/>
          <w:numId w:val="2"/>
        </w:numPr>
        <w:spacing w:after="80"/>
      </w:pPr>
      <w:r>
        <w:rPr>
          <w:rFonts w:ascii="Arial" w:cs="Arial" w:eastAsia="Arial" w:hAnsi="Arial"/>
          <w:color w:val="374151"/>
          <w:sz w:val="20"/>
          <w:szCs w:val="20"/>
        </w:rPr>
        <w:t xml:space="preserve">Set multipliers to 1.00 to disable specific interactions and show the impact of removing them.</w:t>
      </w:r>
    </w:p>
    <w:p>
      <w:pPr>
        <w:spacing w:after="120"/>
        <w:jc w:val="left"/>
      </w:pPr>
      <w:r>
        <w:rPr>
          <w:rFonts w:ascii="Arial" w:cs="Arial" w:eastAsia="Arial" w:hAnsi="Arial"/>
          <w:b w:val="false"/>
          <w:bCs w:val="false"/>
          <w:i w:val="false"/>
          <w:iCs w:val="false"/>
          <w:color w:val="374151"/>
          <w:sz w:val="20"/>
          <w:szCs w:val="20"/>
        </w:rPr>
        <w:t xml:space="preserve">Available overrides include Wood Shake × High Wildfire (default ×3.50), Flood × Coastal (default ×2.20), Non-Wood × High Wildfire (default ×1.80), Earthquake High (default ×1.50), Old Roof × Frame (default ×1.35), and the three-way Slope × Wildfire × Post-burn Rain (default ×1.45).</w:t>
      </w:r>
    </w:p>
    <w:p>
      <w:pPr>
        <w:pStyle w:val="Heading2"/>
        <w:spacing w:before="300" w:after="160"/>
      </w:pPr>
      <w:r>
        <w:rPr>
          <w:rFonts w:ascii="Arial" w:cs="Arial" w:eastAsia="Arial" w:hAnsi="Arial"/>
          <w:b/>
          <w:bCs/>
          <w:color w:val="1D4ED8"/>
          <w:sz w:val="26"/>
          <w:szCs w:val="26"/>
        </w:rPr>
        <w:t xml:space="preserve">5.2 Header Banner</w:t>
      </w:r>
    </w:p>
    <w:p>
      <w:pPr>
        <w:spacing w:after="120"/>
        <w:jc w:val="left"/>
      </w:pPr>
      <w:r>
        <w:rPr>
          <w:rFonts w:ascii="Arial" w:cs="Arial" w:eastAsia="Arial" w:hAnsi="Arial"/>
          <w:b w:val="false"/>
          <w:bCs w:val="false"/>
          <w:i w:val="false"/>
          <w:iCs w:val="false"/>
          <w:color w:val="374151"/>
          <w:sz w:val="20"/>
          <w:szCs w:val="20"/>
        </w:rPr>
        <w:t xml:space="preserve">The fixed header spans the full width and displays four KPI badges derived from the training artifacts (models/artifacts.pkl):</w:t>
      </w:r>
    </w:p>
    <w:p>
      <w:pPr>
        <w:pStyle w:val="ListParagraph"/>
        <w:numPr>
          <w:ilvl w:val="0"/>
          <w:numId w:val="2"/>
        </w:numPr>
        <w:spacing w:after="80"/>
      </w:pPr>
      <w:r>
        <w:rPr>
          <w:rFonts w:ascii="Arial" w:cs="Arial" w:eastAsia="Arial" w:hAnsi="Arial"/>
          <w:color w:val="374151"/>
          <w:sz w:val="20"/>
          <w:szCs w:val="20"/>
        </w:rPr>
        <w:t xml:space="preserve">Model architecture label (GLM + M̂ Discovery Layer)</w:t>
      </w:r>
    </w:p>
    <w:p>
      <w:pPr>
        <w:pStyle w:val="ListParagraph"/>
        <w:numPr>
          <w:ilvl w:val="0"/>
          <w:numId w:val="2"/>
        </w:numPr>
        <w:spacing w:after="80"/>
      </w:pPr>
      <w:r>
        <w:rPr>
          <w:rFonts w:ascii="Arial" w:cs="Arial" w:eastAsia="Arial" w:hAnsi="Arial"/>
          <w:color w:val="374151"/>
          <w:sz w:val="20"/>
          <w:szCs w:val="20"/>
        </w:rPr>
        <w:t xml:space="preserve">Three-track R² comparison (Track 1, 1b, and 2)</w:t>
      </w:r>
    </w:p>
    <w:p>
      <w:pPr>
        <w:pStyle w:val="ListParagraph"/>
        <w:numPr>
          <w:ilvl w:val="0"/>
          <w:numId w:val="2"/>
        </w:numPr>
        <w:spacing w:after="80"/>
      </w:pPr>
      <w:r>
        <w:rPr>
          <w:rFonts w:ascii="Arial" w:cs="Arial" w:eastAsia="Arial" w:hAnsi="Arial"/>
          <w:color w:val="374151"/>
          <w:sz w:val="20"/>
          <w:szCs w:val="20"/>
        </w:rPr>
        <w:t xml:space="preserve">Portfolio reclassification percentage</w:t>
      </w:r>
    </w:p>
    <w:p>
      <w:pPr>
        <w:pStyle w:val="ListParagraph"/>
        <w:numPr>
          <w:ilvl w:val="0"/>
          <w:numId w:val="2"/>
        </w:numPr>
        <w:spacing w:after="80"/>
      </w:pPr>
      <w:r>
        <w:rPr>
          <w:rFonts w:ascii="Arial" w:cs="Arial" w:eastAsia="Arial" w:hAnsi="Arial"/>
          <w:color w:val="374151"/>
          <w:sz w:val="20"/>
          <w:szCs w:val="20"/>
        </w:rPr>
        <w:t xml:space="preserve">Application version</w:t>
      </w:r>
    </w:p>
    <w:p>
      <w:pPr>
        <w:spacing w:after="120"/>
        <w:jc w:val="left"/>
      </w:pPr>
      <w:r>
        <w:rPr>
          <w:rFonts w:ascii="Arial" w:cs="Arial" w:eastAsia="Arial" w:hAnsi="Arial"/>
          <w:b w:val="false"/>
          <w:bCs w:val="false"/>
          <w:i w:val="false"/>
          <w:iCs w:val="false"/>
          <w:color w:val="374151"/>
          <w:sz w:val="20"/>
          <w:szCs w:val="20"/>
        </w:rPr>
        <w:t xml:space="preserve">These metrics are pulled from real training artifacts, not hardcoded, ensuring consistency between the model pipeline and the UI.</w:t>
      </w:r>
    </w:p>
    <w:p>
      <w:r>
        <w:br w:type="page"/>
      </w:r>
    </w:p>
    <w:p>
      <w:pPr>
        <w:pStyle w:val="Heading2"/>
        <w:spacing w:before="300" w:after="160"/>
      </w:pPr>
      <w:r>
        <w:rPr>
          <w:rFonts w:ascii="Arial" w:cs="Arial" w:eastAsia="Arial" w:hAnsi="Arial"/>
          <w:b/>
          <w:bCs/>
          <w:color w:val="1D4ED8"/>
          <w:sz w:val="26"/>
          <w:szCs w:val="26"/>
        </w:rPr>
        <w:t xml:space="preserve">5.3 Tab 1: Risk Scoring Engine</w:t>
      </w:r>
    </w:p>
    <w:p>
      <w:pPr>
        <w:spacing w:after="120"/>
        <w:jc w:val="left"/>
      </w:pPr>
      <w:r>
        <w:rPr>
          <w:rFonts w:ascii="Arial" w:cs="Arial" w:eastAsia="Arial" w:hAnsi="Arial"/>
          <w:b w:val="false"/>
          <w:bCs w:val="false"/>
          <w:i w:val="false"/>
          <w:iCs w:val="false"/>
          <w:color w:val="374151"/>
          <w:sz w:val="20"/>
          <w:szCs w:val="20"/>
        </w:rPr>
        <w:t xml:space="preserve">This is the primary scoring interface. It allows users to input a property’s characteristics across all three feature tiers and receive a full risk assessment in real time.</w:t>
      </w:r>
    </w:p>
    <w:p>
      <w:pPr>
        <w:pStyle w:val="Heading3"/>
        <w:spacing w:before="240" w:after="120"/>
      </w:pPr>
      <w:r>
        <w:rPr>
          <w:rFonts w:ascii="Arial" w:cs="Arial" w:eastAsia="Arial" w:hAnsi="Arial"/>
          <w:b/>
          <w:bCs/>
          <w:color w:val="6D28D9"/>
          <w:sz w:val="22"/>
          <w:szCs w:val="22"/>
        </w:rPr>
        <w:t xml:space="preserve">Objective</w:t>
      </w:r>
    </w:p>
    <w:p>
      <w:pPr>
        <w:spacing w:after="120"/>
        <w:jc w:val="left"/>
      </w:pPr>
      <w:r>
        <w:rPr>
          <w:rFonts w:ascii="Arial" w:cs="Arial" w:eastAsia="Arial" w:hAnsi="Arial"/>
          <w:b w:val="false"/>
          <w:bCs w:val="false"/>
          <w:i w:val="false"/>
          <w:iCs w:val="false"/>
          <w:color w:val="374151"/>
          <w:sz w:val="20"/>
          <w:szCs w:val="20"/>
        </w:rPr>
        <w:t xml:space="preserve">Demonstrate the complete end-to-end scoring pipeline: from raw property inputs through λ (frequency), μ (severity), and M̂ (interaction multiplier) to a final risk score, expected loss, and indicated premium. This tab is designed to answer: “What would this property score, and why?”</w:t>
      </w:r>
    </w:p>
    <w:p>
      <w:pPr>
        <w:spacing w:before="200" w:after="100"/>
      </w:pPr>
      <w:r>
        <w:rPr>
          <w:rFonts w:ascii="Arial" w:cs="Arial" w:eastAsia="Arial" w:hAnsi="Arial"/>
          <w:b/>
          <w:bCs/>
          <w:color w:val="B45309"/>
          <w:sz w:val="20"/>
          <w:szCs w:val="20"/>
        </w:rPr>
        <w:t xml:space="preserve">Demo Property Loader (Dropdown)</w:t>
      </w:r>
    </w:p>
    <w:p>
      <w:pPr>
        <w:spacing w:after="120"/>
        <w:jc w:val="left"/>
      </w:pPr>
      <w:r>
        <w:rPr>
          <w:rFonts w:ascii="Arial" w:cs="Arial" w:eastAsia="Arial" w:hAnsi="Arial"/>
          <w:b w:val="false"/>
          <w:bCs w:val="false"/>
          <w:i w:val="false"/>
          <w:iCs w:val="false"/>
          <w:color w:val="374151"/>
          <w:sz w:val="20"/>
          <w:szCs w:val="20"/>
        </w:rPr>
        <w:t xml:space="preserve">A selectbox at the top offers 10 pre-configured demo properties, each showcasing a different risk archetype. Selecting a property auto-populates all input fields with realistic values. Each property includes a narrative story box explaining its risk profile.</w:t>
      </w:r>
    </w:p>
    <w:p>
      <w:pPr>
        <w:spacing w:after="120"/>
        <w:jc w:val="left"/>
      </w:pPr>
      <w:r>
        <w:rPr>
          <w:rFonts w:ascii="Arial" w:cs="Arial" w:eastAsia="Arial" w:hAnsi="Arial"/>
          <w:b w:val="false"/>
          <w:bCs w:val="false"/>
          <w:i w:val="false"/>
          <w:iCs w:val="false"/>
          <w:color w:val="374151"/>
          <w:sz w:val="20"/>
          <w:szCs w:val="20"/>
        </w:rPr>
        <w:t xml:space="preserve">Key demo properties include:</w:t>
      </w:r>
    </w:p>
    <w:p>
      <w:pPr>
        <w:pStyle w:val="ListParagraph"/>
        <w:numPr>
          <w:ilvl w:val="0"/>
          <w:numId w:val="2"/>
        </w:numPr>
        <w:spacing w:after="80"/>
      </w:pPr>
      <w:r>
        <w:rPr>
          <w:rFonts w:ascii="Arial" w:cs="Arial" w:eastAsia="Arial" w:hAnsi="Arial"/>
          <w:b/>
          <w:bCs/>
          <w:color w:val="374151"/>
          <w:sz w:val="20"/>
          <w:szCs w:val="20"/>
        </w:rPr>
        <w:t xml:space="preserve">Paradise CA (Wood Shake × High Wildfire): </w:t>
      </w:r>
      <w:r>
        <w:rPr>
          <w:rFonts w:ascii="Arial" w:cs="Arial" w:eastAsia="Arial" w:hAnsi="Arial"/>
          <w:color w:val="374151"/>
          <w:sz w:val="20"/>
          <w:szCs w:val="20"/>
        </w:rPr>
        <w:t xml:space="preserve">The signature catastrophe interaction. M̂ ≈ ×3.50. This is the demo’s “jaw-drop” moment.</w:t>
      </w:r>
    </w:p>
    <w:p>
      <w:pPr>
        <w:pStyle w:val="ListParagraph"/>
        <w:numPr>
          <w:ilvl w:val="0"/>
          <w:numId w:val="2"/>
        </w:numPr>
        <w:spacing w:after="80"/>
      </w:pPr>
      <w:r>
        <w:rPr>
          <w:rFonts w:ascii="Arial" w:cs="Arial" w:eastAsia="Arial" w:hAnsi="Arial"/>
          <w:b/>
          <w:bCs/>
          <w:color w:val="374151"/>
          <w:sz w:val="20"/>
          <w:szCs w:val="20"/>
        </w:rPr>
        <w:t xml:space="preserve">Miami FL (Coastal Flood): </w:t>
      </w:r>
      <w:r>
        <w:rPr>
          <w:rFonts w:ascii="Arial" w:cs="Arial" w:eastAsia="Arial" w:hAnsi="Arial"/>
          <w:color w:val="374151"/>
          <w:sz w:val="20"/>
          <w:szCs w:val="20"/>
        </w:rPr>
        <w:t xml:space="preserve">High Flood × &lt;5mi to coast activates the ×2.20 surge multiplier.</w:t>
      </w:r>
    </w:p>
    <w:p>
      <w:pPr>
        <w:pStyle w:val="ListParagraph"/>
        <w:numPr>
          <w:ilvl w:val="0"/>
          <w:numId w:val="2"/>
        </w:numPr>
        <w:spacing w:after="80"/>
      </w:pPr>
      <w:r>
        <w:rPr>
          <w:rFonts w:ascii="Arial" w:cs="Arial" w:eastAsia="Arial" w:hAnsi="Arial"/>
          <w:b/>
          <w:bCs/>
          <w:color w:val="374151"/>
          <w:sz w:val="20"/>
          <w:szCs w:val="20"/>
        </w:rPr>
        <w:t xml:space="preserve">Denver CO (Masonry, Low Risk): </w:t>
      </w:r>
      <w:r>
        <w:rPr>
          <w:rFonts w:ascii="Arial" w:cs="Arial" w:eastAsia="Arial" w:hAnsi="Arial"/>
          <w:color w:val="374151"/>
          <w:sz w:val="20"/>
          <w:szCs w:val="20"/>
        </w:rPr>
        <w:t xml:space="preserve">Clean risk profile demonstrating that M̂ stays near 1.0 when interactions are absent.</w:t>
      </w:r>
    </w:p>
    <w:p>
      <w:pPr>
        <w:spacing w:before="200" w:after="100"/>
      </w:pPr>
      <w:r>
        <w:rPr>
          <w:rFonts w:ascii="Arial" w:cs="Arial" w:eastAsia="Arial" w:hAnsi="Arial"/>
          <w:b/>
          <w:bCs/>
          <w:color w:val="B45309"/>
          <w:sz w:val="20"/>
          <w:szCs w:val="20"/>
        </w:rPr>
        <w:t xml:space="preserve">Input Form: Three Feature Tiers</w:t>
      </w:r>
    </w:p>
    <w:p>
      <w:pPr>
        <w:spacing w:after="120"/>
        <w:jc w:val="left"/>
      </w:pPr>
      <w:r>
        <w:rPr>
          <w:rFonts w:ascii="Arial" w:cs="Arial" w:eastAsia="Arial" w:hAnsi="Arial"/>
          <w:b/>
          <w:bCs/>
          <w:i w:val="false"/>
          <w:iCs w:val="false"/>
          <w:color w:val="1D4ED8"/>
          <w:sz w:val="20"/>
          <w:szCs w:val="20"/>
        </w:rPr>
        <w:t xml:space="preserve">Tier 1 — Property &amp; Structural Features </w:t>
      </w:r>
      <w:r>
        <w:rPr>
          <w:rFonts w:ascii="Arial" w:cs="Arial" w:eastAsia="Arial" w:hAnsi="Arial"/>
          <w:b w:val="false"/>
          <w:bCs w:val="false"/>
          <w:i w:val="false"/>
          <w:iCs w:val="false"/>
          <w:color w:val="374151"/>
          <w:sz w:val="20"/>
          <w:szCs w:val="20"/>
        </w:rPr>
        <w:t xml:space="preserve">(blue header). 12 inputs across four columns: State, Construction Type, Occupancy, Dwelling Value, Coverage Amount, Year Built, Square Footage, Stories, ISO Protection Class, Roof Material, Roof Age, and Distance to Fire Station. Each input has contextual help text explaining its actuarial rationale.</w:t>
      </w:r>
    </w:p>
    <w:p>
      <w:pPr>
        <w:spacing w:after="120"/>
        <w:jc w:val="left"/>
      </w:pPr>
      <w:r>
        <w:rPr>
          <w:rFonts w:ascii="Arial" w:cs="Arial" w:eastAsia="Arial" w:hAnsi="Arial"/>
          <w:b/>
          <w:bCs/>
          <w:i w:val="false"/>
          <w:iCs w:val="false"/>
          <w:color w:val="6D28D9"/>
          <w:sz w:val="20"/>
          <w:szCs w:val="20"/>
        </w:rPr>
        <w:t xml:space="preserve">Tier 2 — Behavioural &amp; Secondary Features </w:t>
      </w:r>
      <w:r>
        <w:rPr>
          <w:rFonts w:ascii="Arial" w:cs="Arial" w:eastAsia="Arial" w:hAnsi="Arial"/>
          <w:b w:val="false"/>
          <w:bCs w:val="false"/>
          <w:i w:val="false"/>
          <w:iCs w:val="false"/>
          <w:color w:val="374151"/>
          <w:sz w:val="20"/>
          <w:szCs w:val="20"/>
        </w:rPr>
        <w:t xml:space="preserve">(indigo header). Includes Prior Claims (3yr), Credit Score (auto-suppressed in CA/MA/HI per regulation), Deductible, and binary checkboxes for Swimming Pool, Trampoline, Dog, Security System, Smoke Detectors, Sprinkler System, Gated Community, Knob-and-Tube Wiring, Polybutylene Plumbing, and a Permit Score slider.</w:t>
      </w:r>
    </w:p>
    <w:p>
      <w:pPr>
        <w:spacing w:after="120"/>
        <w:jc w:val="left"/>
      </w:pPr>
      <w:r>
        <w:rPr>
          <w:rFonts w:ascii="Arial" w:cs="Arial" w:eastAsia="Arial" w:hAnsi="Arial"/>
          <w:b/>
          <w:bCs/>
          <w:i w:val="false"/>
          <w:iCs w:val="false"/>
          <w:color w:val="B45309"/>
          <w:sz w:val="20"/>
          <w:szCs w:val="20"/>
        </w:rPr>
        <w:t xml:space="preserve">Tier 3 — Hazard &amp; Interaction Features </w:t>
      </w:r>
      <w:r>
        <w:rPr>
          <w:rFonts w:ascii="Arial" w:cs="Arial" w:eastAsia="Arial" w:hAnsi="Arial"/>
          <w:b w:val="false"/>
          <w:bCs w:val="false"/>
          <w:i w:val="false"/>
          <w:iCs w:val="false"/>
          <w:color w:val="374151"/>
          <w:sz w:val="20"/>
          <w:szCs w:val="20"/>
        </w:rPr>
        <w:t xml:space="preserve">(amber header). Peril zone selectors (Wildfire, Flood, Earthquake, Hail, Vegetation Risk), continuous sliders (Distance to Coast, Defensible Space Score, Slope Steepness, Post-burn Rainfall Intensity). These variables drive the M̂ multiplier.</w:t>
      </w:r>
    </w:p>
    <w:p>
      <w:pPr>
        <w:spacing w:before="200" w:after="100"/>
      </w:pPr>
      <w:r>
        <w:rPr>
          <w:rFonts w:ascii="Arial" w:cs="Arial" w:eastAsia="Arial" w:hAnsi="Arial"/>
          <w:b/>
          <w:bCs/>
          <w:color w:val="B45309"/>
          <w:sz w:val="20"/>
          <w:szCs w:val="20"/>
        </w:rPr>
        <w:t xml:space="preserve">Live Interaction Signals Panel</w:t>
      </w:r>
    </w:p>
    <w:p>
      <w:pPr>
        <w:spacing w:after="120"/>
        <w:jc w:val="left"/>
      </w:pPr>
      <w:r>
        <w:rPr>
          <w:rFonts w:ascii="Arial" w:cs="Arial" w:eastAsia="Arial" w:hAnsi="Arial"/>
          <w:b w:val="false"/>
          <w:bCs w:val="false"/>
          <w:i w:val="false"/>
          <w:iCs w:val="false"/>
          <w:color w:val="374151"/>
          <w:sz w:val="20"/>
          <w:szCs w:val="20"/>
        </w:rPr>
        <w:t xml:space="preserve">Below the Tier 3 inputs, a real-time panel displays which interaction rules are currently active based on the selected inputs. Each signal shows the interaction name, its multiplier value, and a brief explanation. If no interactions are active, a green banner confirms “Standard attritional risk profile.” This panel updates dynamically as inputs change, giving immediate visual feedback before the full model runs.</w:t>
      </w:r>
    </w:p>
    <w:p>
      <w:pPr>
        <w:spacing w:before="200" w:after="100"/>
      </w:pPr>
      <w:r>
        <w:rPr>
          <w:rFonts w:ascii="Arial" w:cs="Arial" w:eastAsia="Arial" w:hAnsi="Arial"/>
          <w:b/>
          <w:bCs/>
          <w:color w:val="B45309"/>
          <w:sz w:val="20"/>
          <w:szCs w:val="20"/>
        </w:rPr>
        <w:t xml:space="preserve">Calculate Button and Results</w:t>
      </w:r>
    </w:p>
    <w:p>
      <w:pPr>
        <w:spacing w:after="120"/>
        <w:jc w:val="left"/>
      </w:pPr>
      <w:r>
        <w:rPr>
          <w:rFonts w:ascii="Arial" w:cs="Arial" w:eastAsia="Arial" w:hAnsi="Arial"/>
          <w:b w:val="false"/>
          <w:bCs w:val="false"/>
          <w:i w:val="false"/>
          <w:iCs w:val="false"/>
          <w:color w:val="374151"/>
          <w:sz w:val="20"/>
          <w:szCs w:val="20"/>
        </w:rPr>
        <w:t xml:space="preserve">The “CALCULATE RISK SCORE &amp; PREMIUM” button triggers the full prediction pipeline. Results display in several sections:</w:t>
      </w:r>
    </w:p>
    <w:p>
      <w:pPr>
        <w:pStyle w:val="ListParagraph"/>
        <w:numPr>
          <w:ilvl w:val="0"/>
          <w:numId w:val="2"/>
        </w:numPr>
        <w:spacing w:after="80"/>
      </w:pPr>
      <w:r>
        <w:rPr>
          <w:rFonts w:ascii="Arial" w:cs="Arial" w:eastAsia="Arial" w:hAnsi="Arial"/>
          <w:b/>
          <w:bCs/>
          <w:color w:val="374151"/>
          <w:sz w:val="20"/>
          <w:szCs w:val="20"/>
        </w:rPr>
        <w:t xml:space="preserve">Risk Score Gauge: </w:t>
      </w:r>
      <w:r>
        <w:rPr>
          <w:rFonts w:ascii="Arial" w:cs="Arial" w:eastAsia="Arial" w:hAnsi="Arial"/>
          <w:color w:val="374151"/>
          <w:sz w:val="20"/>
          <w:szCs w:val="20"/>
        </w:rPr>
        <w:t xml:space="preserve">A 0–1000 gauge with colour-coded bands (green → red). The score drives the underwriting triage action displayed below it.</w:t>
      </w:r>
    </w:p>
    <w:p>
      <w:pPr>
        <w:pStyle w:val="ListParagraph"/>
        <w:numPr>
          <w:ilvl w:val="0"/>
          <w:numId w:val="2"/>
        </w:numPr>
        <w:spacing w:after="80"/>
      </w:pPr>
      <w:r>
        <w:rPr>
          <w:rFonts w:ascii="Arial" w:cs="Arial" w:eastAsia="Arial" w:hAnsi="Arial"/>
          <w:b/>
          <w:bCs/>
          <w:color w:val="374151"/>
          <w:sz w:val="20"/>
          <w:szCs w:val="20"/>
        </w:rPr>
        <w:t xml:space="preserve">Metric Cards: </w:t>
      </w:r>
      <w:r>
        <w:rPr>
          <w:rFonts w:ascii="Arial" w:cs="Arial" w:eastAsia="Arial" w:hAnsi="Arial"/>
          <w:color w:val="374151"/>
          <w:sz w:val="20"/>
          <w:szCs w:val="20"/>
        </w:rPr>
        <w:t xml:space="preserve">Six cards showing Annual Claim Probability (λ), Expected Claim Size (μ), M̂ Interaction Multiplier, Expected Annual Loss, Indicated Annual Premium, and Score A2 (component view).</w:t>
      </w:r>
    </w:p>
    <w:p>
      <w:pPr>
        <w:pStyle w:val="ListParagraph"/>
        <w:numPr>
          <w:ilvl w:val="0"/>
          <w:numId w:val="2"/>
        </w:numPr>
        <w:spacing w:after="80"/>
      </w:pPr>
      <w:r>
        <w:rPr>
          <w:rFonts w:ascii="Arial" w:cs="Arial" w:eastAsia="Arial" w:hAnsi="Arial"/>
          <w:b/>
          <w:bCs/>
          <w:color w:val="374151"/>
          <w:sz w:val="20"/>
          <w:szCs w:val="20"/>
        </w:rPr>
        <w:t xml:space="preserve">Formula Breakdown: </w:t>
      </w:r>
      <w:r>
        <w:rPr>
          <w:rFonts w:ascii="Arial" w:cs="Arial" w:eastAsia="Arial" w:hAnsi="Arial"/>
          <w:color w:val="374151"/>
          <w:sz w:val="20"/>
          <w:szCs w:val="20"/>
        </w:rPr>
        <w:t xml:space="preserve">A rendered formula showing E[L] = λ × μ × M̂ with the actual numeric values colour-coded by component.</w:t>
      </w:r>
    </w:p>
    <w:p>
      <w:pPr>
        <w:pStyle w:val="ListParagraph"/>
        <w:numPr>
          <w:ilvl w:val="0"/>
          <w:numId w:val="2"/>
        </w:numPr>
        <w:spacing w:after="80"/>
      </w:pPr>
      <w:r>
        <w:rPr>
          <w:rFonts w:ascii="Arial" w:cs="Arial" w:eastAsia="Arial" w:hAnsi="Arial"/>
          <w:b/>
          <w:bCs/>
          <w:color w:val="374151"/>
          <w:sz w:val="20"/>
          <w:szCs w:val="20"/>
        </w:rPr>
        <w:t xml:space="preserve">Tier 3 Attribution Block: </w:t>
      </w:r>
      <w:r>
        <w:rPr>
          <w:rFonts w:ascii="Arial" w:cs="Arial" w:eastAsia="Arial" w:hAnsi="Arial"/>
          <w:color w:val="374151"/>
          <w:sz w:val="20"/>
          <w:szCs w:val="20"/>
        </w:rPr>
        <w:t xml:space="preserve">Three-panel display showing E[L] without Tier 3, the dollar amount added by Tier 3, and the total E[L]. This is the key “delta” visualisation that quantifies the interaction effect’s dollar impact.</w:t>
      </w:r>
    </w:p>
    <w:p>
      <w:pPr>
        <w:pStyle w:val="ListParagraph"/>
        <w:numPr>
          <w:ilvl w:val="0"/>
          <w:numId w:val="2"/>
        </w:numPr>
        <w:spacing w:after="80"/>
      </w:pPr>
      <w:r>
        <w:rPr>
          <w:rFonts w:ascii="Arial" w:cs="Arial" w:eastAsia="Arial" w:hAnsi="Arial"/>
          <w:b/>
          <w:bCs/>
          <w:color w:val="374151"/>
          <w:sz w:val="20"/>
          <w:szCs w:val="20"/>
        </w:rPr>
        <w:t xml:space="preserve">Active Interaction Multiplier Cards: </w:t>
      </w:r>
      <w:r>
        <w:rPr>
          <w:rFonts w:ascii="Arial" w:cs="Arial" w:eastAsia="Arial" w:hAnsi="Arial"/>
          <w:color w:val="374151"/>
          <w:sz w:val="20"/>
          <w:szCs w:val="20"/>
        </w:rPr>
        <w:t xml:space="preserve">Individual cards for each active interaction, showing the multiplier and a rule-based vs. model-learned comparison.</w:t>
      </w:r>
    </w:p>
    <w:p>
      <w:pPr>
        <w:pStyle w:val="ListParagraph"/>
        <w:numPr>
          <w:ilvl w:val="0"/>
          <w:numId w:val="2"/>
        </w:numPr>
        <w:spacing w:after="80"/>
      </w:pPr>
      <w:r>
        <w:rPr>
          <w:rFonts w:ascii="Arial" w:cs="Arial" w:eastAsia="Arial" w:hAnsi="Arial"/>
          <w:b/>
          <w:bCs/>
          <w:color w:val="374151"/>
          <w:sz w:val="20"/>
          <w:szCs w:val="20"/>
        </w:rPr>
        <w:t xml:space="preserve">Underwriting Summary: </w:t>
      </w:r>
      <w:r>
        <w:rPr>
          <w:rFonts w:ascii="Arial" w:cs="Arial" w:eastAsia="Arial" w:hAnsi="Arial"/>
          <w:color w:val="374151"/>
          <w:sz w:val="20"/>
          <w:szCs w:val="20"/>
        </w:rPr>
        <w:t xml:space="preserve">Auto-generated narrative describing the risk profile, key drivers, mitigants, and underwriter recommendations. Includes separate “Risk Drivers” and “Risk Mitigants” columns.</w:t>
      </w:r>
    </w:p>
    <w:p>
      <w:r>
        <w:br w:type="page"/>
      </w:r>
    </w:p>
    <w:p>
      <w:pPr>
        <w:pStyle w:val="Heading2"/>
        <w:spacing w:before="300" w:after="160"/>
      </w:pPr>
      <w:r>
        <w:rPr>
          <w:rFonts w:ascii="Arial" w:cs="Arial" w:eastAsia="Arial" w:hAnsi="Arial"/>
          <w:b/>
          <w:bCs/>
          <w:color w:val="1D4ED8"/>
          <w:sz w:val="26"/>
          <w:szCs w:val="26"/>
        </w:rPr>
        <w:t xml:space="preserve">5.4 Tab 2: GLM + M̂ Story</w:t>
      </w:r>
    </w:p>
    <w:p>
      <w:pPr>
        <w:spacing w:after="120"/>
        <w:jc w:val="left"/>
      </w:pPr>
      <w:r>
        <w:rPr>
          <w:rFonts w:ascii="Arial" w:cs="Arial" w:eastAsia="Arial" w:hAnsi="Arial"/>
          <w:b w:val="false"/>
          <w:bCs w:val="false"/>
          <w:i w:val="false"/>
          <w:iCs w:val="false"/>
          <w:color w:val="374151"/>
          <w:sz w:val="20"/>
          <w:szCs w:val="20"/>
        </w:rPr>
        <w:t xml:space="preserve">This tab is the commercial centrepiece of the demo. It answers the question: “Why should a carrier care about interaction effects, and how much money is at stake?”</w:t>
      </w:r>
    </w:p>
    <w:p>
      <w:pPr>
        <w:pStyle w:val="Heading3"/>
        <w:spacing w:before="240" w:after="120"/>
      </w:pPr>
      <w:r>
        <w:rPr>
          <w:rFonts w:ascii="Arial" w:cs="Arial" w:eastAsia="Arial" w:hAnsi="Arial"/>
          <w:b/>
          <w:bCs/>
          <w:color w:val="6D28D9"/>
          <w:sz w:val="22"/>
          <w:szCs w:val="22"/>
        </w:rPr>
        <w:t xml:space="preserve">Objective</w:t>
      </w:r>
    </w:p>
    <w:p>
      <w:pPr>
        <w:spacing w:after="120"/>
        <w:jc w:val="left"/>
      </w:pPr>
      <w:r>
        <w:rPr>
          <w:rFonts w:ascii="Arial" w:cs="Arial" w:eastAsia="Arial" w:hAnsi="Arial"/>
          <w:b w:val="false"/>
          <w:bCs w:val="false"/>
          <w:i w:val="false"/>
          <w:iCs w:val="false"/>
          <w:color w:val="374151"/>
          <w:sz w:val="20"/>
          <w:szCs w:val="20"/>
        </w:rPr>
        <w:t xml:space="preserve">Prove, with live policy comparisons, scenario matrices, and portfolio distributions, that the M̂ interaction layer captures compounding risks that the baseline GLM systematically misses. This is the tab that closes deals.</w:t>
      </w:r>
    </w:p>
    <w:p>
      <w:pPr>
        <w:spacing w:before="200" w:after="100"/>
      </w:pPr>
      <w:r>
        <w:rPr>
          <w:rFonts w:ascii="Arial" w:cs="Arial" w:eastAsia="Arial" w:hAnsi="Arial"/>
          <w:b/>
          <w:bCs/>
          <w:color w:val="B45309"/>
          <w:sz w:val="20"/>
          <w:szCs w:val="20"/>
        </w:rPr>
        <w:t xml:space="preserve">Portfolio-Level M̂ KPI Banner</w:t>
      </w:r>
    </w:p>
    <w:p>
      <w:pPr>
        <w:spacing w:after="120"/>
        <w:jc w:val="left"/>
      </w:pPr>
      <w:r>
        <w:rPr>
          <w:rFonts w:ascii="Arial" w:cs="Arial" w:eastAsia="Arial" w:hAnsi="Arial"/>
          <w:b w:val="false"/>
          <w:bCs w:val="false"/>
          <w:i w:val="false"/>
          <w:iCs w:val="false"/>
          <w:color w:val="374151"/>
          <w:sz w:val="20"/>
          <w:szCs w:val="20"/>
        </w:rPr>
        <w:t xml:space="preserve">Four metric cards displaying aggregate M̂ statistics from the training pipeline: Portfolio M̂ Median, Severe Compounding percentage (policies with M̂ &gt; 2.0), Mean Premium Uplift, and Portfolio Reclassification Rate. Below the KPIs, an explanatory box summarises the M̂ mechanism in plain English.</w:t>
      </w:r>
    </w:p>
    <w:p>
      <w:pPr>
        <w:spacing w:before="200" w:after="100"/>
      </w:pPr>
      <w:r>
        <w:rPr>
          <w:rFonts w:ascii="Arial" w:cs="Arial" w:eastAsia="Arial" w:hAnsi="Arial"/>
          <w:b/>
          <w:bCs/>
          <w:color w:val="B45309"/>
          <w:sz w:val="20"/>
          <w:szCs w:val="20"/>
        </w:rPr>
        <w:t xml:space="preserve">Part 1 — Live Policy: Baseline vs M̂ Applied</w:t>
      </w:r>
    </w:p>
    <w:p>
      <w:pPr>
        <w:spacing w:after="120"/>
        <w:jc w:val="left"/>
      </w:pPr>
      <w:r>
        <w:rPr>
          <w:rFonts w:ascii="Arial" w:cs="Arial" w:eastAsia="Arial" w:hAnsi="Arial"/>
          <w:b w:val="false"/>
          <w:bCs w:val="false"/>
          <w:i w:val="false"/>
          <w:iCs w:val="false"/>
          <w:color w:val="374151"/>
          <w:sz w:val="20"/>
          <w:szCs w:val="20"/>
        </w:rPr>
        <w:t xml:space="preserve">A side-by-side comparison of the last scored policy showing the baseline GLM prediction (M̂ = 1.0) versus the full M̂-applied prediction. Two cards display:</w:t>
      </w:r>
    </w:p>
    <w:p>
      <w:pPr>
        <w:pStyle w:val="ListParagraph"/>
        <w:numPr>
          <w:ilvl w:val="0"/>
          <w:numId w:val="2"/>
        </w:numPr>
        <w:spacing w:after="80"/>
      </w:pPr>
      <w:r>
        <w:rPr>
          <w:rFonts w:ascii="Arial" w:cs="Arial" w:eastAsia="Arial" w:hAnsi="Arial"/>
          <w:b/>
          <w:bCs/>
          <w:color w:val="374151"/>
          <w:sz w:val="20"/>
          <w:szCs w:val="20"/>
        </w:rPr>
        <w:t xml:space="preserve">Baseline (left): </w:t>
      </w:r>
      <w:r>
        <w:rPr>
          <w:rFonts w:ascii="Arial" w:cs="Arial" w:eastAsia="Arial" w:hAnsi="Arial"/>
          <w:color w:val="374151"/>
          <w:sz w:val="20"/>
          <w:szCs w:val="20"/>
        </w:rPr>
        <w:t xml:space="preserve">GLM-only prediction with λ, μ, E[L], and premium. Labelled as Track 1 — what the carrier would price with a standard model.</w:t>
      </w:r>
    </w:p>
    <w:p>
      <w:pPr>
        <w:pStyle w:val="ListParagraph"/>
        <w:numPr>
          <w:ilvl w:val="0"/>
          <w:numId w:val="2"/>
        </w:numPr>
        <w:spacing w:after="80"/>
      </w:pPr>
      <w:r>
        <w:rPr>
          <w:rFonts w:ascii="Arial" w:cs="Arial" w:eastAsia="Arial" w:hAnsi="Arial"/>
          <w:b/>
          <w:bCs/>
          <w:color w:val="374151"/>
          <w:sz w:val="20"/>
          <w:szCs w:val="20"/>
        </w:rPr>
        <w:t xml:space="preserve">Full Model (right): </w:t>
      </w:r>
      <w:r>
        <w:rPr>
          <w:rFonts w:ascii="Arial" w:cs="Arial" w:eastAsia="Arial" w:hAnsi="Arial"/>
          <w:color w:val="374151"/>
          <w:sz w:val="20"/>
          <w:szCs w:val="20"/>
        </w:rPr>
        <w:t xml:space="preserve">GLM × M̂ prediction showing the interaction-adjusted values. Highlighted in amber to emphasise the uplift.</w:t>
      </w:r>
    </w:p>
    <w:p>
      <w:pPr>
        <w:spacing w:after="120"/>
        <w:jc w:val="left"/>
      </w:pPr>
      <w:r>
        <w:rPr>
          <w:rFonts w:ascii="Arial" w:cs="Arial" w:eastAsia="Arial" w:hAnsi="Arial"/>
          <w:b w:val="false"/>
          <w:bCs w:val="false"/>
          <w:i w:val="false"/>
          <w:iCs w:val="false"/>
          <w:color w:val="374151"/>
          <w:sz w:val="20"/>
          <w:szCs w:val="20"/>
        </w:rPr>
        <w:t xml:space="preserve">Below: a “Premium Gap” dumbbell chart visualising the dollar difference between baseline and full pricing. This is the “money left on the table” visualisation.</w:t>
      </w:r>
    </w:p>
    <w:p>
      <w:pPr>
        <w:spacing w:before="200" w:after="100"/>
      </w:pPr>
      <w:r>
        <w:rPr>
          <w:rFonts w:ascii="Arial" w:cs="Arial" w:eastAsia="Arial" w:hAnsi="Arial"/>
          <w:b/>
          <w:bCs/>
          <w:color w:val="B45309"/>
          <w:sz w:val="20"/>
          <w:szCs w:val="20"/>
        </w:rPr>
        <w:t xml:space="preserve">Part 2 — Scenario Cards</w:t>
      </w:r>
    </w:p>
    <w:p>
      <w:pPr>
        <w:spacing w:after="120"/>
        <w:jc w:val="left"/>
      </w:pPr>
      <w:r>
        <w:rPr>
          <w:rFonts w:ascii="Arial" w:cs="Arial" w:eastAsia="Arial" w:hAnsi="Arial"/>
          <w:b w:val="false"/>
          <w:bCs w:val="false"/>
          <w:i w:val="false"/>
          <w:iCs w:val="false"/>
          <w:color w:val="374151"/>
          <w:sz w:val="20"/>
          <w:szCs w:val="20"/>
        </w:rPr>
        <w:t xml:space="preserve">A 2×2 matrix of pre-configured scenario comparisons using the Asphalt/Wood × Low/High wildfire grid. Each card runs predict_all_three() to show Track 1, Track 1b, and Track 2 predictions side by side. Card D (Wood Shake + High Wildfire) is designed to produce the largest compounding gap, demonstrating the signature M̂ effect.</w:t>
      </w:r>
    </w:p>
    <w:p>
      <w:pPr>
        <w:spacing w:after="120"/>
        <w:jc w:val="left"/>
      </w:pPr>
      <w:r>
        <w:rPr>
          <w:rFonts w:ascii="Arial" w:cs="Arial" w:eastAsia="Arial" w:hAnsi="Arial"/>
          <w:b w:val="false"/>
          <w:bCs w:val="false"/>
          <w:i w:val="false"/>
          <w:iCs w:val="false"/>
          <w:color w:val="374151"/>
          <w:sz w:val="20"/>
          <w:szCs w:val="20"/>
        </w:rPr>
        <w:t xml:space="preserve">Below the cards, an educational callout explains the Dai Workflow: how GBM discovers interactions from GLM residuals, SHAP identifies top candidates, and they are encoded as named interaction terms.</w:t>
      </w:r>
    </w:p>
    <w:p>
      <w:pPr>
        <w:spacing w:before="200" w:after="100"/>
      </w:pPr>
      <w:r>
        <w:rPr>
          <w:rFonts w:ascii="Arial" w:cs="Arial" w:eastAsia="Arial" w:hAnsi="Arial"/>
          <w:b/>
          <w:bCs/>
          <w:color w:val="B45309"/>
          <w:sz w:val="20"/>
          <w:szCs w:val="20"/>
        </w:rPr>
        <w:t xml:space="preserve">Part 3 — Portfolio M̂ Distribution</w:t>
      </w:r>
    </w:p>
    <w:p>
      <w:pPr>
        <w:spacing w:after="120"/>
        <w:jc w:val="left"/>
      </w:pPr>
      <w:r>
        <w:rPr>
          <w:rFonts w:ascii="Arial" w:cs="Arial" w:eastAsia="Arial" w:hAnsi="Arial"/>
          <w:b w:val="false"/>
          <w:bCs w:val="false"/>
          <w:i w:val="false"/>
          <w:iCs w:val="false"/>
          <w:color w:val="374151"/>
          <w:sz w:val="20"/>
          <w:szCs w:val="20"/>
        </w:rPr>
        <w:t xml:space="preserve">A histogram of M̂ values across the synthetic portfolio, with vertical lines at the median and 90th percentile. This shows the distribution of interaction intensity: most policies have modest M̂ (near 1.0), but a meaningful tail extends to ×2.5–×3.5, representing the compound-risk policies that drive catastrophic losses.</w:t>
      </w:r>
    </w:p>
    <w:p>
      <w:r>
        <w:br w:type="page"/>
      </w:r>
    </w:p>
    <w:p>
      <w:pPr>
        <w:pStyle w:val="Heading2"/>
        <w:spacing w:before="300" w:after="160"/>
      </w:pPr>
      <w:r>
        <w:rPr>
          <w:rFonts w:ascii="Arial" w:cs="Arial" w:eastAsia="Arial" w:hAnsi="Arial"/>
          <w:b/>
          <w:bCs/>
          <w:color w:val="1D4ED8"/>
          <w:sz w:val="26"/>
          <w:szCs w:val="26"/>
        </w:rPr>
        <w:t xml:space="preserve">5.5 Tab 3: What-If Simulator</w:t>
      </w:r>
    </w:p>
    <w:p>
      <w:pPr>
        <w:pStyle w:val="Heading3"/>
        <w:spacing w:before="240" w:after="120"/>
      </w:pPr>
      <w:r>
        <w:rPr>
          <w:rFonts w:ascii="Arial" w:cs="Arial" w:eastAsia="Arial" w:hAnsi="Arial"/>
          <w:b/>
          <w:bCs/>
          <w:color w:val="6D28D9"/>
          <w:sz w:val="22"/>
          <w:szCs w:val="22"/>
        </w:rPr>
        <w:t xml:space="preserve">Objective</w:t>
      </w:r>
    </w:p>
    <w:p>
      <w:pPr>
        <w:spacing w:after="120"/>
        <w:jc w:val="left"/>
      </w:pPr>
      <w:r>
        <w:rPr>
          <w:rFonts w:ascii="Arial" w:cs="Arial" w:eastAsia="Arial" w:hAnsi="Arial"/>
          <w:b w:val="false"/>
          <w:bCs w:val="false"/>
          <w:i w:val="false"/>
          <w:iCs w:val="false"/>
          <w:color w:val="374151"/>
          <w:sz w:val="20"/>
          <w:szCs w:val="20"/>
        </w:rPr>
        <w:t xml:space="preserve">Allow users to start from any scored policy, modify individual features, and instantly see how the risk score, E[L], M̂, and premium change. This demonstrates real-time mitigation quantification — a capability regulators and consumer advocates increasingly demand.</w:t>
      </w:r>
    </w:p>
    <w:p>
      <w:pPr>
        <w:spacing w:before="200" w:after="100"/>
      </w:pPr>
      <w:r>
        <w:rPr>
          <w:rFonts w:ascii="Arial" w:cs="Arial" w:eastAsia="Arial" w:hAnsi="Arial"/>
          <w:b/>
          <w:bCs/>
          <w:color w:val="B45309"/>
          <w:sz w:val="20"/>
          <w:szCs w:val="20"/>
        </w:rPr>
        <w:t xml:space="preserve">Base Policy Summary Bar</w:t>
      </w:r>
    </w:p>
    <w:p>
      <w:pPr>
        <w:spacing w:after="120"/>
        <w:jc w:val="left"/>
      </w:pPr>
      <w:r>
        <w:rPr>
          <w:rFonts w:ascii="Arial" w:cs="Arial" w:eastAsia="Arial" w:hAnsi="Arial"/>
          <w:b w:val="false"/>
          <w:bCs w:val="false"/>
          <w:i w:val="false"/>
          <w:iCs w:val="false"/>
          <w:color w:val="374151"/>
          <w:sz w:val="20"/>
          <w:szCs w:val="20"/>
        </w:rPr>
        <w:t xml:space="preserve">Displays the starting policy’s key metrics (state, roof material, wildfire zone, risk score, M̂, and premium) as a reference baseline. The base policy is automatically inherited from the last Tab 1 scoring.</w:t>
      </w:r>
    </w:p>
    <w:p>
      <w:pPr>
        <w:spacing w:before="200" w:after="100"/>
      </w:pPr>
      <w:r>
        <w:rPr>
          <w:rFonts w:ascii="Arial" w:cs="Arial" w:eastAsia="Arial" w:hAnsi="Arial"/>
          <w:b/>
          <w:bCs/>
          <w:color w:val="B45309"/>
          <w:sz w:val="20"/>
          <w:szCs w:val="20"/>
        </w:rPr>
        <w:t xml:space="preserve">Feature Modification Inputs</w:t>
      </w:r>
    </w:p>
    <w:p>
      <w:pPr>
        <w:spacing w:after="120"/>
        <w:jc w:val="left"/>
      </w:pPr>
      <w:r>
        <w:rPr>
          <w:rFonts w:ascii="Arial" w:cs="Arial" w:eastAsia="Arial" w:hAnsi="Arial"/>
          <w:b w:val="false"/>
          <w:bCs w:val="false"/>
          <w:i w:val="false"/>
          <w:iCs w:val="false"/>
          <w:color w:val="374151"/>
          <w:sz w:val="20"/>
          <w:szCs w:val="20"/>
        </w:rPr>
        <w:t xml:space="preserve">Three columns of inputs allow modification of:</w:t>
      </w:r>
    </w:p>
    <w:p>
      <w:pPr>
        <w:pStyle w:val="ListParagraph"/>
        <w:numPr>
          <w:ilvl w:val="0"/>
          <w:numId w:val="2"/>
        </w:numPr>
        <w:spacing w:after="80"/>
      </w:pPr>
      <w:r>
        <w:rPr>
          <w:rFonts w:ascii="Arial" w:cs="Arial" w:eastAsia="Arial" w:hAnsi="Arial"/>
          <w:b/>
          <w:bCs/>
          <w:color w:val="374151"/>
          <w:sz w:val="20"/>
          <w:szCs w:val="20"/>
        </w:rPr>
        <w:t xml:space="preserve">Tier 1 — Structural: </w:t>
      </w:r>
      <w:r>
        <w:rPr>
          <w:rFonts w:ascii="Arial" w:cs="Arial" w:eastAsia="Arial" w:hAnsi="Arial"/>
          <w:color w:val="374151"/>
          <w:sz w:val="20"/>
          <w:szCs w:val="20"/>
        </w:rPr>
        <w:t xml:space="preserve">Roof Material, Construction Type, Roof Age, Protection Class, Distance to Fire Station.</w:t>
      </w:r>
    </w:p>
    <w:p>
      <w:pPr>
        <w:pStyle w:val="ListParagraph"/>
        <w:numPr>
          <w:ilvl w:val="0"/>
          <w:numId w:val="2"/>
        </w:numPr>
        <w:spacing w:after="80"/>
      </w:pPr>
      <w:r>
        <w:rPr>
          <w:rFonts w:ascii="Arial" w:cs="Arial" w:eastAsia="Arial" w:hAnsi="Arial"/>
          <w:b/>
          <w:bCs/>
          <w:color w:val="374151"/>
          <w:sz w:val="20"/>
          <w:szCs w:val="20"/>
        </w:rPr>
        <w:t xml:space="preserve">Tier 2 — Behavioural: </w:t>
      </w:r>
      <w:r>
        <w:rPr>
          <w:rFonts w:ascii="Arial" w:cs="Arial" w:eastAsia="Arial" w:hAnsi="Arial"/>
          <w:color w:val="374151"/>
          <w:sz w:val="20"/>
          <w:szCs w:val="20"/>
        </w:rPr>
        <w:t xml:space="preserve">Prior Claims, Credit Score, Deductible, Sprinkler System.</w:t>
      </w:r>
    </w:p>
    <w:p>
      <w:pPr>
        <w:pStyle w:val="ListParagraph"/>
        <w:numPr>
          <w:ilvl w:val="0"/>
          <w:numId w:val="2"/>
        </w:numPr>
        <w:spacing w:after="80"/>
      </w:pPr>
      <w:r>
        <w:rPr>
          <w:rFonts w:ascii="Arial" w:cs="Arial" w:eastAsia="Arial" w:hAnsi="Arial"/>
          <w:b/>
          <w:bCs/>
          <w:color w:val="374151"/>
          <w:sz w:val="20"/>
          <w:szCs w:val="20"/>
        </w:rPr>
        <w:t xml:space="preserve">Tier 3 — Hazard: </w:t>
      </w:r>
      <w:r>
        <w:rPr>
          <w:rFonts w:ascii="Arial" w:cs="Arial" w:eastAsia="Arial" w:hAnsi="Arial"/>
          <w:color w:val="374151"/>
          <w:sz w:val="20"/>
          <w:szCs w:val="20"/>
        </w:rPr>
        <w:t xml:space="preserve">Wildfire Zone, Flood Zone, Distance to Coast, Defensible Space, Slope, Post-burn Rain.</w:t>
      </w:r>
    </w:p>
    <w:p>
      <w:pPr>
        <w:spacing w:before="200" w:after="100"/>
      </w:pPr>
      <w:r>
        <w:rPr>
          <w:rFonts w:ascii="Arial" w:cs="Arial" w:eastAsia="Arial" w:hAnsi="Arial"/>
          <w:b/>
          <w:bCs/>
          <w:color w:val="B45309"/>
          <w:sz w:val="20"/>
          <w:szCs w:val="20"/>
        </w:rPr>
        <w:t xml:space="preserve">Recalculate Button and Delta Display</w:t>
      </w:r>
    </w:p>
    <w:p>
      <w:pPr>
        <w:spacing w:after="120"/>
        <w:jc w:val="left"/>
      </w:pPr>
      <w:r>
        <w:rPr>
          <w:rFonts w:ascii="Arial" w:cs="Arial" w:eastAsia="Arial" w:hAnsi="Arial"/>
          <w:b w:val="false"/>
          <w:bCs w:val="false"/>
          <w:i w:val="false"/>
          <w:iCs w:val="false"/>
          <w:color w:val="374151"/>
          <w:sz w:val="20"/>
          <w:szCs w:val="20"/>
        </w:rPr>
        <w:t xml:space="preserve">Clicking “Recalculate What-If” runs the full pipeline with modified inputs and displays a delta panel showing changes in risk score, M̂, E[L], and premium. Positive changes (risk increased) appear in red; negative changes (risk decreased) appear in green. Below the delta, a “What Changed” callout summarises which features moved and their impact.</w:t>
      </w:r>
    </w:p>
    <w:p>
      <w:pPr>
        <w:spacing w:after="120"/>
        <w:jc w:val="left"/>
      </w:pPr>
      <w:r>
        <w:rPr>
          <w:rFonts w:ascii="Arial" w:cs="Arial" w:eastAsia="Arial" w:hAnsi="Arial"/>
          <w:b w:val="false"/>
          <w:bCs w:val="false"/>
          <w:i w:val="false"/>
          <w:iCs w:val="false"/>
          <w:color w:val="374151"/>
          <w:sz w:val="20"/>
          <w:szCs w:val="20"/>
        </w:rPr>
        <w:t xml:space="preserve">The most powerful demo moment: change Wood Shake to Metal roof and show M̂ drop from ×3.50 toward baseline — quantifying the exact dollar value of a roof replacement for the homeowner.</w:t>
      </w:r>
    </w:p>
    <w:p>
      <w:r>
        <w:br w:type="page"/>
      </w:r>
    </w:p>
    <w:p>
      <w:pPr>
        <w:pStyle w:val="Heading2"/>
        <w:spacing w:before="300" w:after="160"/>
      </w:pPr>
      <w:r>
        <w:rPr>
          <w:rFonts w:ascii="Arial" w:cs="Arial" w:eastAsia="Arial" w:hAnsi="Arial"/>
          <w:b/>
          <w:bCs/>
          <w:color w:val="1D4ED8"/>
          <w:sz w:val="26"/>
          <w:szCs w:val="26"/>
        </w:rPr>
        <w:t xml:space="preserve">5.6 Tab 4: Portfolio &amp; Performance</w:t>
      </w:r>
    </w:p>
    <w:p>
      <w:pPr>
        <w:spacing w:after="120"/>
        <w:jc w:val="left"/>
      </w:pPr>
      <w:r>
        <w:rPr>
          <w:rFonts w:ascii="Arial" w:cs="Arial" w:eastAsia="Arial" w:hAnsi="Arial"/>
          <w:b w:val="false"/>
          <w:bCs w:val="false"/>
          <w:i w:val="false"/>
          <w:iCs w:val="false"/>
          <w:color w:val="374151"/>
          <w:sz w:val="20"/>
          <w:szCs w:val="20"/>
        </w:rPr>
        <w:t xml:space="preserve">This tab aggregates policy-level scoring to the portfolio level, demonstrating how interaction-aware models improve book management, financial outcomes, and model discrimination. It contains three sub-tabs.</w:t>
      </w:r>
    </w:p>
    <w:p>
      <w:pPr>
        <w:pStyle w:val="Heading3"/>
        <w:spacing w:before="240" w:after="120"/>
      </w:pPr>
      <w:r>
        <w:rPr>
          <w:rFonts w:ascii="Arial" w:cs="Arial" w:eastAsia="Arial" w:hAnsi="Arial"/>
          <w:b/>
          <w:bCs/>
          <w:color w:val="6D28D9"/>
          <w:sz w:val="22"/>
          <w:szCs w:val="22"/>
        </w:rPr>
        <w:t xml:space="preserve">Sub-tab 4a: Portfolio Overview</w:t>
      </w:r>
    </w:p>
    <w:p>
      <w:pPr>
        <w:spacing w:before="200" w:after="100"/>
      </w:pPr>
      <w:r>
        <w:rPr>
          <w:rFonts w:ascii="Arial" w:cs="Arial" w:eastAsia="Arial" w:hAnsi="Arial"/>
          <w:b/>
          <w:bCs/>
          <w:color w:val="B45309"/>
          <w:sz w:val="20"/>
          <w:szCs w:val="20"/>
        </w:rPr>
        <w:t xml:space="preserve">Objective</w:t>
      </w:r>
    </w:p>
    <w:p>
      <w:pPr>
        <w:spacing w:after="120"/>
        <w:jc w:val="left"/>
      </w:pPr>
      <w:r>
        <w:rPr>
          <w:rFonts w:ascii="Arial" w:cs="Arial" w:eastAsia="Arial" w:hAnsi="Arial"/>
          <w:b w:val="false"/>
          <w:bCs w:val="false"/>
          <w:i w:val="false"/>
          <w:iCs w:val="false"/>
          <w:color w:val="374151"/>
          <w:sz w:val="20"/>
          <w:szCs w:val="20"/>
        </w:rPr>
        <w:t xml:space="preserve">Provide an interaction-first view of the synthetic 100K-policy book: where compound risk concentrates geographically, which states and perils dominate, and how M̂ reshapes the risk distribution.</w:t>
      </w:r>
    </w:p>
    <w:p>
      <w:pPr>
        <w:spacing w:before="200" w:after="100"/>
      </w:pPr>
      <w:r>
        <w:rPr>
          <w:rFonts w:ascii="Arial" w:cs="Arial" w:eastAsia="Arial" w:hAnsi="Arial"/>
          <w:b/>
          <w:bCs/>
          <w:color w:val="B45309"/>
          <w:sz w:val="20"/>
          <w:szCs w:val="20"/>
        </w:rPr>
        <w:t xml:space="preserve">KPI Banner</w:t>
      </w:r>
    </w:p>
    <w:p>
      <w:pPr>
        <w:spacing w:after="120"/>
        <w:jc w:val="left"/>
      </w:pPr>
      <w:r>
        <w:rPr>
          <w:rFonts w:ascii="Arial" w:cs="Arial" w:eastAsia="Arial" w:hAnsi="Arial"/>
          <w:b w:val="false"/>
          <w:bCs w:val="false"/>
          <w:i w:val="false"/>
          <w:iCs w:val="false"/>
          <w:color w:val="374151"/>
          <w:sz w:val="20"/>
          <w:szCs w:val="20"/>
        </w:rPr>
        <w:t xml:space="preserve">Five metric cards: Total Policies, Total Premium, Total Expected Loss, Average M̂, and Percentage of Policies with Active Tier 3 (M̂ &gt; 1.0).</w:t>
      </w:r>
    </w:p>
    <w:p>
      <w:pPr>
        <w:spacing w:before="200" w:after="100"/>
      </w:pPr>
      <w:r>
        <w:rPr>
          <w:rFonts w:ascii="Arial" w:cs="Arial" w:eastAsia="Arial" w:hAnsi="Arial"/>
          <w:b/>
          <w:bCs/>
          <w:color w:val="B45309"/>
          <w:sz w:val="20"/>
          <w:szCs w:val="20"/>
        </w:rPr>
        <w:t xml:space="preserve">Row 1: Risk Score Distribution + Interaction Risk Choropleth</w:t>
      </w:r>
    </w:p>
    <w:p>
      <w:pPr>
        <w:spacing w:after="120"/>
        <w:jc w:val="left"/>
      </w:pPr>
      <w:r>
        <w:rPr>
          <w:rFonts w:ascii="Arial" w:cs="Arial" w:eastAsia="Arial" w:hAnsi="Arial"/>
          <w:b w:val="false"/>
          <w:bCs w:val="false"/>
          <w:i w:val="false"/>
          <w:iCs w:val="false"/>
          <w:color w:val="374151"/>
          <w:sz w:val="20"/>
          <w:szCs w:val="20"/>
        </w:rPr>
        <w:t xml:space="preserve">Two side-by-side visualisations:</w:t>
      </w:r>
    </w:p>
    <w:p>
      <w:pPr>
        <w:pStyle w:val="ListParagraph"/>
        <w:numPr>
          <w:ilvl w:val="0"/>
          <w:numId w:val="2"/>
        </w:numPr>
        <w:spacing w:after="80"/>
      </w:pPr>
      <w:r>
        <w:rPr>
          <w:rFonts w:ascii="Arial" w:cs="Arial" w:eastAsia="Arial" w:hAnsi="Arial"/>
          <w:b/>
          <w:bCs/>
          <w:color w:val="374151"/>
          <w:sz w:val="20"/>
          <w:szCs w:val="20"/>
        </w:rPr>
        <w:t xml:space="preserve">Risk Score Distribution (left): </w:t>
      </w:r>
      <w:r>
        <w:rPr>
          <w:rFonts w:ascii="Arial" w:cs="Arial" w:eastAsia="Arial" w:hAnsi="Arial"/>
          <w:color w:val="374151"/>
          <w:sz w:val="20"/>
          <w:szCs w:val="20"/>
        </w:rPr>
        <w:t xml:space="preserve">A bar chart showing policy count and premium volume by risk band (Very Low through Very High), with a secondary y-axis for premium in $M. Demonstrates model discrimination — the ability to separate the book into actionably different risk tiers.</w:t>
      </w:r>
    </w:p>
    <w:p>
      <w:pPr>
        <w:pStyle w:val="ListParagraph"/>
        <w:numPr>
          <w:ilvl w:val="0"/>
          <w:numId w:val="2"/>
        </w:numPr>
        <w:spacing w:after="80"/>
      </w:pPr>
      <w:r>
        <w:rPr>
          <w:rFonts w:ascii="Arial" w:cs="Arial" w:eastAsia="Arial" w:hAnsi="Arial"/>
          <w:b/>
          <w:bCs/>
          <w:color w:val="374151"/>
          <w:sz w:val="20"/>
          <w:szCs w:val="20"/>
        </w:rPr>
        <w:t xml:space="preserve">Interaction Risk Choropleth (right): </w:t>
      </w:r>
      <w:r>
        <w:rPr>
          <w:rFonts w:ascii="Arial" w:cs="Arial" w:eastAsia="Arial" w:hAnsi="Arial"/>
          <w:color w:val="374151"/>
          <w:sz w:val="20"/>
          <w:szCs w:val="20"/>
        </w:rPr>
        <w:t xml:space="preserve">A US map coloured by mean M̂ per state, using an amber-to-dark-brown colour scale. The 10 modelled states (CA, FL, TX, LA, OK, CO, NC, GA, AZ, NV) are colour-coded; all other states render in light gray, reinforcing the demo universe. Hovering over any state reveals policy count, total premium, expected loss, and the dominant peril driver.</w:t>
      </w:r>
    </w:p>
    <w:p>
      <w:pPr>
        <w:spacing w:before="200" w:after="100"/>
      </w:pPr>
      <w:r>
        <w:rPr>
          <w:rFonts w:ascii="Arial" w:cs="Arial" w:eastAsia="Arial" w:hAnsi="Arial"/>
          <w:b/>
          <w:bCs/>
          <w:color w:val="B45309"/>
          <w:sz w:val="20"/>
          <w:szCs w:val="20"/>
        </w:rPr>
        <w:t xml:space="preserve">Row 1b: State × Peril Interaction Heatmap</w:t>
      </w:r>
    </w:p>
    <w:p>
      <w:pPr>
        <w:spacing w:after="120"/>
        <w:jc w:val="left"/>
      </w:pPr>
      <w:r>
        <w:rPr>
          <w:rFonts w:ascii="Arial" w:cs="Arial" w:eastAsia="Arial" w:hAnsi="Arial"/>
          <w:b w:val="false"/>
          <w:bCs w:val="false"/>
          <w:i w:val="false"/>
          <w:iCs w:val="false"/>
          <w:color w:val="374151"/>
          <w:sz w:val="20"/>
          <w:szCs w:val="20"/>
        </w:rPr>
        <w:t xml:space="preserve">A full-width 10×4 heatmap grid showing mean M̂ at the intersection of each state and high-peril zone (Wildfire High, Flood High, Earthquake High, Hail High). Each cell displays the M̂ value and policy count. Cells with fewer than 20 policies show “—” for credibility. States are sorted by peak M̂.</w:t>
      </w:r>
    </w:p>
    <w:p>
      <w:pPr>
        <w:spacing w:after="120"/>
        <w:jc w:val="left"/>
      </w:pPr>
      <w:r>
        <w:rPr>
          <w:rFonts w:ascii="Arial" w:cs="Arial" w:eastAsia="Arial" w:hAnsi="Arial"/>
          <w:b w:val="false"/>
          <w:bCs w:val="false"/>
          <w:i w:val="false"/>
          <w:iCs w:val="false"/>
          <w:color w:val="374151"/>
          <w:sz w:val="20"/>
          <w:szCs w:val="20"/>
        </w:rPr>
        <w:t xml:space="preserve">This visualisation directly supports the Tier 3 narrative: it proves that the same peril hits differently depending on geography, demonstrating non-linear compounding. The hottest cell (typically CA × Wildfire High at ×2.77) is auto-surfaced in a dynamic caption.</w:t>
      </w:r>
    </w:p>
    <w:p>
      <w:pPr>
        <w:spacing w:before="200" w:after="100"/>
      </w:pPr>
      <w:r>
        <w:rPr>
          <w:rFonts w:ascii="Arial" w:cs="Arial" w:eastAsia="Arial" w:hAnsi="Arial"/>
          <w:b/>
          <w:bCs/>
          <w:color w:val="B45309"/>
          <w:sz w:val="20"/>
          <w:szCs w:val="20"/>
        </w:rPr>
        <w:t xml:space="preserve">Row 2: M̂ vs Expected Loss Scatter + Loss Ratio by Band</w:t>
      </w:r>
    </w:p>
    <w:p>
      <w:pPr>
        <w:spacing w:after="120"/>
        <w:jc w:val="left"/>
      </w:pPr>
      <w:r>
        <w:rPr>
          <w:rFonts w:ascii="Arial" w:cs="Arial" w:eastAsia="Arial" w:hAnsi="Arial"/>
          <w:b w:val="false"/>
          <w:bCs w:val="false"/>
          <w:i w:val="false"/>
          <w:iCs w:val="false"/>
          <w:color w:val="374151"/>
          <w:sz w:val="20"/>
          <w:szCs w:val="20"/>
        </w:rPr>
        <w:t xml:space="preserve">Two more side-by-side charts:</w:t>
      </w:r>
    </w:p>
    <w:p>
      <w:pPr>
        <w:pStyle w:val="ListParagraph"/>
        <w:numPr>
          <w:ilvl w:val="0"/>
          <w:numId w:val="2"/>
        </w:numPr>
        <w:spacing w:after="80"/>
      </w:pPr>
      <w:r>
        <w:rPr>
          <w:rFonts w:ascii="Arial" w:cs="Arial" w:eastAsia="Arial" w:hAnsi="Arial"/>
          <w:b/>
          <w:bCs/>
          <w:color w:val="374151"/>
          <w:sz w:val="20"/>
          <w:szCs w:val="20"/>
        </w:rPr>
        <w:t xml:space="preserve">M̂ vs Expected Loss Scatter: </w:t>
      </w:r>
      <w:r>
        <w:rPr>
          <w:rFonts w:ascii="Arial" w:cs="Arial" w:eastAsia="Arial" w:hAnsi="Arial"/>
          <w:color w:val="374151"/>
          <w:sz w:val="20"/>
          <w:szCs w:val="20"/>
        </w:rPr>
        <w:t xml:space="preserve">8,000 sampled policies plotted with M̂ on x-axis and expected loss on y-axis, coloured by M̂ intensity. Demonstrates the positive non-linear relationship between interaction multiplier and total loss exposure.</w:t>
      </w:r>
    </w:p>
    <w:p>
      <w:pPr>
        <w:pStyle w:val="ListParagraph"/>
        <w:numPr>
          <w:ilvl w:val="0"/>
          <w:numId w:val="2"/>
        </w:numPr>
        <w:spacing w:after="80"/>
      </w:pPr>
      <w:r>
        <w:rPr>
          <w:rFonts w:ascii="Arial" w:cs="Arial" w:eastAsia="Arial" w:hAnsi="Arial"/>
          <w:b/>
          <w:bCs/>
          <w:color w:val="374151"/>
          <w:sz w:val="20"/>
          <w:szCs w:val="20"/>
        </w:rPr>
        <w:t xml:space="preserve">Loss Ratio by Risk Band: </w:t>
      </w:r>
      <w:r>
        <w:rPr>
          <w:rFonts w:ascii="Arial" w:cs="Arial" w:eastAsia="Arial" w:hAnsi="Arial"/>
          <w:color w:val="374151"/>
          <w:sz w:val="20"/>
          <w:szCs w:val="20"/>
        </w:rPr>
        <w:t xml:space="preserve">Bar chart showing loss ratio (%) by band with reference lines at 65% (target LR) and 100% (underwriting loss). High and Very High bands should show loss ratios above 100%, confirming these are the bands where Tier 3 effects dominate.</w:t>
      </w:r>
    </w:p>
    <w:p>
      <w:pPr>
        <w:spacing w:before="200" w:after="100"/>
      </w:pPr>
      <w:r>
        <w:rPr>
          <w:rFonts w:ascii="Arial" w:cs="Arial" w:eastAsia="Arial" w:hAnsi="Arial"/>
          <w:b/>
          <w:bCs/>
          <w:color w:val="B45309"/>
          <w:sz w:val="20"/>
          <w:szCs w:val="20"/>
        </w:rPr>
        <w:t xml:space="preserve">Row 3: Feature Distributions</w:t>
      </w:r>
    </w:p>
    <w:p>
      <w:pPr>
        <w:spacing w:after="120"/>
        <w:jc w:val="left"/>
      </w:pPr>
      <w:r>
        <w:rPr>
          <w:rFonts w:ascii="Arial" w:cs="Arial" w:eastAsia="Arial" w:hAnsi="Arial"/>
          <w:b w:val="false"/>
          <w:bCs w:val="false"/>
          <w:i w:val="false"/>
          <w:iCs w:val="false"/>
          <w:color w:val="374151"/>
          <w:sz w:val="20"/>
          <w:szCs w:val="20"/>
        </w:rPr>
        <w:t xml:space="preserve">Four compact bar charts showing the distribution of key risk variables: Roof Material, Wildfire Zone, Flood Zone, and Construction Type. These confirm the synthetic data is well-distributed and provide portfolio composition context.</w:t>
      </w:r>
    </w:p>
    <w:p>
      <w:pPr>
        <w:spacing w:before="200" w:after="100"/>
      </w:pPr>
      <w:r>
        <w:rPr>
          <w:rFonts w:ascii="Arial" w:cs="Arial" w:eastAsia="Arial" w:hAnsi="Arial"/>
          <w:b/>
          <w:bCs/>
          <w:color w:val="B45309"/>
          <w:sz w:val="20"/>
          <w:szCs w:val="20"/>
        </w:rPr>
        <w:t xml:space="preserve">Row 4: Feature Correlation Matrix</w:t>
      </w:r>
    </w:p>
    <w:p>
      <w:pPr>
        <w:spacing w:after="120"/>
        <w:jc w:val="left"/>
      </w:pPr>
      <w:r>
        <w:rPr>
          <w:rFonts w:ascii="Arial" w:cs="Arial" w:eastAsia="Arial" w:hAnsi="Arial"/>
          <w:b w:val="false"/>
          <w:bCs w:val="false"/>
          <w:i w:val="false"/>
          <w:iCs w:val="false"/>
          <w:color w:val="374151"/>
          <w:sz w:val="20"/>
          <w:szCs w:val="20"/>
        </w:rPr>
        <w:t xml:space="preserve">A full-width heatmap showing Pearson correlations between 10 key numeric variables (λ, μ, M̂, E[L], roof age, home value, prior claims, credit score, protection class, fire distance). The high correlation between M̂ and E[L] confirms Tier 3 interactions dominate total expected loss variance.</w:t>
      </w:r>
    </w:p>
    <w:p>
      <w:pPr>
        <w:pStyle w:val="Heading3"/>
        <w:spacing w:before="240" w:after="120"/>
      </w:pPr>
      <w:r>
        <w:rPr>
          <w:rFonts w:ascii="Arial" w:cs="Arial" w:eastAsia="Arial" w:hAnsi="Arial"/>
          <w:b/>
          <w:bCs/>
          <w:color w:val="6D28D9"/>
          <w:sz w:val="22"/>
          <w:szCs w:val="22"/>
        </w:rPr>
        <w:t xml:space="preserve">Sub-tab 4b: Business Impact</w:t>
      </w:r>
    </w:p>
    <w:p>
      <w:pPr>
        <w:spacing w:before="200" w:after="100"/>
      </w:pPr>
      <w:r>
        <w:rPr>
          <w:rFonts w:ascii="Arial" w:cs="Arial" w:eastAsia="Arial" w:hAnsi="Arial"/>
          <w:b/>
          <w:bCs/>
          <w:color w:val="B45309"/>
          <w:sz w:val="20"/>
          <w:szCs w:val="20"/>
        </w:rPr>
        <w:t xml:space="preserve">Objective</w:t>
      </w:r>
    </w:p>
    <w:p>
      <w:pPr>
        <w:spacing w:after="120"/>
        <w:jc w:val="left"/>
      </w:pPr>
      <w:r>
        <w:rPr>
          <w:rFonts w:ascii="Arial" w:cs="Arial" w:eastAsia="Arial" w:hAnsi="Arial"/>
          <w:b w:val="false"/>
          <w:bCs w:val="false"/>
          <w:i w:val="false"/>
          <w:iCs w:val="false"/>
          <w:color w:val="374151"/>
          <w:sz w:val="20"/>
          <w:szCs w:val="20"/>
        </w:rPr>
        <w:t xml:space="preserve">Translate model improvement into financial terms that VP-level audiences can action.</w:t>
      </w:r>
    </w:p>
    <w:p>
      <w:pPr>
        <w:spacing w:before="200" w:after="100"/>
      </w:pPr>
      <w:r>
        <w:rPr>
          <w:rFonts w:ascii="Arial" w:cs="Arial" w:eastAsia="Arial" w:hAnsi="Arial"/>
          <w:b/>
          <w:bCs/>
          <w:color w:val="B45309"/>
          <w:sz w:val="20"/>
          <w:szCs w:val="20"/>
        </w:rPr>
        <w:t xml:space="preserve">Part 1 — ROI Calculator</w:t>
      </w:r>
    </w:p>
    <w:p>
      <w:pPr>
        <w:spacing w:after="120"/>
        <w:jc w:val="left"/>
      </w:pPr>
      <w:r>
        <w:rPr>
          <w:rFonts w:ascii="Arial" w:cs="Arial" w:eastAsia="Arial" w:hAnsi="Arial"/>
          <w:b w:val="false"/>
          <w:bCs w:val="false"/>
          <w:i w:val="false"/>
          <w:iCs w:val="false"/>
          <w:color w:val="374151"/>
          <w:sz w:val="20"/>
          <w:szCs w:val="20"/>
        </w:rPr>
        <w:t xml:space="preserve">An interactive calculator with sliders for Book Size ($M), Loss Ratio Improvement (basis points), Premium Growth (%), and Expense Reduction (%). Outputs three financial pillars: Loss Ratio Savings, Premium Growth, and Expense Savings, summed into Total Annual Impact. Below, a sensitivity heatmap shows ROI across different book-size × LR-improvement combinations.</w:t>
      </w:r>
    </w:p>
    <w:p>
      <w:pPr>
        <w:spacing w:before="200" w:after="100"/>
      </w:pPr>
      <w:r>
        <w:rPr>
          <w:rFonts w:ascii="Arial" w:cs="Arial" w:eastAsia="Arial" w:hAnsi="Arial"/>
          <w:b/>
          <w:bCs/>
          <w:color w:val="B45309"/>
          <w:sz w:val="20"/>
          <w:szCs w:val="20"/>
        </w:rPr>
        <w:t xml:space="preserve">Part 2 — Portfolio Reclassification</w:t>
      </w:r>
    </w:p>
    <w:p>
      <w:pPr>
        <w:spacing w:after="120"/>
        <w:jc w:val="left"/>
      </w:pPr>
      <w:r>
        <w:rPr>
          <w:rFonts w:ascii="Arial" w:cs="Arial" w:eastAsia="Arial" w:hAnsi="Arial"/>
          <w:b w:val="false"/>
          <w:bCs w:val="false"/>
          <w:i w:val="false"/>
          <w:iCs w:val="false"/>
          <w:color w:val="374151"/>
          <w:sz w:val="20"/>
          <w:szCs w:val="20"/>
        </w:rPr>
        <w:t xml:space="preserve">A scatter plot with Tier 1+2 scores on x-axis and Tier 1+2+3 scores on y-axis. Points off the diagonal represent reclassified policies. Two quadrants are highlighted: “Hidden Dangers” (looked safe, actually risky) and “Hidden Gems” (looked risky, actually safe growth opportunities).</w:t>
      </w:r>
    </w:p>
    <w:p>
      <w:pPr>
        <w:spacing w:before="200" w:after="100"/>
      </w:pPr>
      <w:r>
        <w:rPr>
          <w:rFonts w:ascii="Arial" w:cs="Arial" w:eastAsia="Arial" w:hAnsi="Arial"/>
          <w:b/>
          <w:bCs/>
          <w:color w:val="B45309"/>
          <w:sz w:val="20"/>
          <w:szCs w:val="20"/>
        </w:rPr>
        <w:t xml:space="preserve">Part 3 — Underwriting Efficiency</w:t>
      </w:r>
    </w:p>
    <w:p>
      <w:pPr>
        <w:spacing w:after="120"/>
        <w:jc w:val="left"/>
      </w:pPr>
      <w:r>
        <w:rPr>
          <w:rFonts w:ascii="Arial" w:cs="Arial" w:eastAsia="Arial" w:hAnsi="Arial"/>
          <w:b w:val="false"/>
          <w:bCs w:val="false"/>
          <w:i w:val="false"/>
          <w:iCs w:val="false"/>
          <w:color w:val="374151"/>
          <w:sz w:val="20"/>
          <w:szCs w:val="20"/>
        </w:rPr>
        <w:t xml:space="preserve">Comparison of traditional underwriting (45 minutes/policy, manual, inconsistent) versus AI-assisted scoring (under 2 seconds, consistent, auditable). Five strategic value pillars are presented: Loss Ratio Improvement, Premium Growth, Expense Reduction, Regulatory Compliance, and Competitive Advantage.</w:t>
      </w:r>
    </w:p>
    <w:p>
      <w:pPr>
        <w:pStyle w:val="Heading3"/>
        <w:spacing w:before="240" w:after="120"/>
      </w:pPr>
      <w:r>
        <w:rPr>
          <w:rFonts w:ascii="Arial" w:cs="Arial" w:eastAsia="Arial" w:hAnsi="Arial"/>
          <w:b/>
          <w:bCs/>
          <w:color w:val="6D28D9"/>
          <w:sz w:val="22"/>
          <w:szCs w:val="22"/>
        </w:rPr>
        <w:t xml:space="preserve">Sub-tab 4c: Model Performance</w:t>
      </w:r>
    </w:p>
    <w:p>
      <w:pPr>
        <w:spacing w:before="200" w:after="100"/>
      </w:pPr>
      <w:r>
        <w:rPr>
          <w:rFonts w:ascii="Arial" w:cs="Arial" w:eastAsia="Arial" w:hAnsi="Arial"/>
          <w:b/>
          <w:bCs/>
          <w:color w:val="B45309"/>
          <w:sz w:val="20"/>
          <w:szCs w:val="20"/>
        </w:rPr>
        <w:t xml:space="preserve">Objective</w:t>
      </w:r>
    </w:p>
    <w:p>
      <w:pPr>
        <w:spacing w:after="120"/>
        <w:jc w:val="left"/>
      </w:pPr>
      <w:r>
        <w:rPr>
          <w:rFonts w:ascii="Arial" w:cs="Arial" w:eastAsia="Arial" w:hAnsi="Arial"/>
          <w:b w:val="false"/>
          <w:bCs w:val="false"/>
          <w:i w:val="false"/>
          <w:iCs w:val="false"/>
          <w:color w:val="374151"/>
          <w:sz w:val="20"/>
          <w:szCs w:val="20"/>
        </w:rPr>
        <w:t xml:space="preserve">Provide actuarial-standard model validation evidence: lift charts, decile analysis, calibration metrics, and three-track R² comparisons.</w:t>
      </w:r>
    </w:p>
    <w:p>
      <w:pPr>
        <w:spacing w:after="120"/>
        <w:jc w:val="left"/>
      </w:pPr>
      <w:r>
        <w:rPr>
          <w:rFonts w:ascii="Arial" w:cs="Arial" w:eastAsia="Arial" w:hAnsi="Arial"/>
          <w:b w:val="false"/>
          <w:bCs w:val="false"/>
          <w:i w:val="false"/>
          <w:iCs w:val="false"/>
          <w:color w:val="374151"/>
          <w:sz w:val="20"/>
          <w:szCs w:val="20"/>
        </w:rPr>
        <w:t xml:space="preserve">Contents include decile lift charts (predicted vs actual by risk decile), calibration curves, R² by model track, and reclassification statistics.</w:t>
      </w:r>
    </w:p>
    <w:p>
      <w:r>
        <w:br w:type="page"/>
      </w:r>
    </w:p>
    <w:p>
      <w:pPr>
        <w:pStyle w:val="Heading2"/>
        <w:spacing w:before="300" w:after="160"/>
      </w:pPr>
      <w:r>
        <w:rPr>
          <w:rFonts w:ascii="Arial" w:cs="Arial" w:eastAsia="Arial" w:hAnsi="Arial"/>
          <w:b/>
          <w:bCs/>
          <w:color w:val="1D4ED8"/>
          <w:sz w:val="26"/>
          <w:szCs w:val="26"/>
        </w:rPr>
        <w:t xml:space="preserve">5.7 Tab 5: Explainability &amp; Data</w:t>
      </w:r>
    </w:p>
    <w:p>
      <w:pPr>
        <w:spacing w:after="120"/>
        <w:jc w:val="left"/>
      </w:pPr>
      <w:r>
        <w:rPr>
          <w:rFonts w:ascii="Arial" w:cs="Arial" w:eastAsia="Arial" w:hAnsi="Arial"/>
          <w:b w:val="false"/>
          <w:bCs w:val="false"/>
          <w:i w:val="false"/>
          <w:iCs w:val="false"/>
          <w:color w:val="374151"/>
          <w:sz w:val="20"/>
          <w:szCs w:val="20"/>
        </w:rPr>
        <w:t xml:space="preserve">This tab provides the transparency layer required for regulatory compliance and technical due diligence. It contains two sub-tabs.</w:t>
      </w:r>
    </w:p>
    <w:p>
      <w:pPr>
        <w:pStyle w:val="Heading3"/>
        <w:spacing w:before="240" w:after="120"/>
      </w:pPr>
      <w:r>
        <w:rPr>
          <w:rFonts w:ascii="Arial" w:cs="Arial" w:eastAsia="Arial" w:hAnsi="Arial"/>
          <w:b/>
          <w:bCs/>
          <w:color w:val="6D28D9"/>
          <w:sz w:val="22"/>
          <w:szCs w:val="22"/>
        </w:rPr>
        <w:t xml:space="preserve">Sub-tab 5a: SHAP &amp; Attribution</w:t>
      </w:r>
    </w:p>
    <w:p>
      <w:pPr>
        <w:spacing w:before="200" w:after="100"/>
      </w:pPr>
      <w:r>
        <w:rPr>
          <w:rFonts w:ascii="Arial" w:cs="Arial" w:eastAsia="Arial" w:hAnsi="Arial"/>
          <w:b/>
          <w:bCs/>
          <w:color w:val="B45309"/>
          <w:sz w:val="20"/>
          <w:szCs w:val="20"/>
        </w:rPr>
        <w:t xml:space="preserve">Objective</w:t>
      </w:r>
    </w:p>
    <w:p>
      <w:pPr>
        <w:spacing w:after="120"/>
        <w:jc w:val="left"/>
      </w:pPr>
      <w:r>
        <w:rPr>
          <w:rFonts w:ascii="Arial" w:cs="Arial" w:eastAsia="Arial" w:hAnsi="Arial"/>
          <w:b w:val="false"/>
          <w:bCs w:val="false"/>
          <w:i w:val="false"/>
          <w:iCs w:val="false"/>
          <w:color w:val="374151"/>
          <w:sz w:val="20"/>
          <w:szCs w:val="20"/>
        </w:rPr>
        <w:t xml:space="preserve">Decompose every prediction into its constituent feature contributions using SHAP (SHapley Additive exPlanations), satisfying the NAIC AI Model Bulletin’s explainability mandate.</w:t>
      </w:r>
    </w:p>
    <w:p>
      <w:pPr>
        <w:spacing w:before="200" w:after="100"/>
      </w:pPr>
      <w:r>
        <w:rPr>
          <w:rFonts w:ascii="Arial" w:cs="Arial" w:eastAsia="Arial" w:hAnsi="Arial"/>
          <w:b/>
          <w:bCs/>
          <w:color w:val="B45309"/>
          <w:sz w:val="20"/>
          <w:szCs w:val="20"/>
        </w:rPr>
        <w:t xml:space="preserve">E[L] Attribution Waterfall</w:t>
      </w:r>
    </w:p>
    <w:p>
      <w:pPr>
        <w:spacing w:after="120"/>
        <w:jc w:val="left"/>
      </w:pPr>
      <w:r>
        <w:rPr>
          <w:rFonts w:ascii="Arial" w:cs="Arial" w:eastAsia="Arial" w:hAnsi="Arial"/>
          <w:b w:val="false"/>
          <w:bCs w:val="false"/>
          <w:i w:val="false"/>
          <w:iCs w:val="false"/>
          <w:color w:val="374151"/>
          <w:sz w:val="20"/>
          <w:szCs w:val="20"/>
        </w:rPr>
        <w:t xml:space="preserve">A full-width waterfall chart showing how each feature shifts the indicated premium away from the portfolio baseline. Features are grouped and colour-coded by tier: Tier 1 (blue), Tier 2 (indigo), Tier 3/M̂ (amber). The waterfall reads left-to-right, starting from the base premium and accumulating to the final indicated premium.</w:t>
      </w:r>
    </w:p>
    <w:p>
      <w:pPr>
        <w:spacing w:before="200" w:after="100"/>
      </w:pPr>
      <w:r>
        <w:rPr>
          <w:rFonts w:ascii="Arial" w:cs="Arial" w:eastAsia="Arial" w:hAnsi="Arial"/>
          <w:b/>
          <w:bCs/>
          <w:color w:val="B45309"/>
          <w:sz w:val="20"/>
          <w:szCs w:val="20"/>
        </w:rPr>
        <w:t xml:space="preserve">Per-Model SHAP Detail</w:t>
      </w:r>
    </w:p>
    <w:p>
      <w:pPr>
        <w:spacing w:after="120"/>
        <w:jc w:val="left"/>
      </w:pPr>
      <w:r>
        <w:rPr>
          <w:rFonts w:ascii="Arial" w:cs="Arial" w:eastAsia="Arial" w:hAnsi="Arial"/>
          <w:b w:val="false"/>
          <w:bCs w:val="false"/>
          <w:i w:val="false"/>
          <w:iCs w:val="false"/>
          <w:color w:val="374151"/>
          <w:sz w:val="20"/>
          <w:szCs w:val="20"/>
        </w:rPr>
        <w:t xml:space="preserve">Nested sub-tabs showing SHAP decompositions for each model component:</w:t>
      </w:r>
    </w:p>
    <w:p>
      <w:pPr>
        <w:pStyle w:val="ListParagraph"/>
        <w:numPr>
          <w:ilvl w:val="0"/>
          <w:numId w:val="2"/>
        </w:numPr>
        <w:spacing w:after="80"/>
      </w:pPr>
      <w:r>
        <w:rPr>
          <w:rFonts w:ascii="Arial" w:cs="Arial" w:eastAsia="Arial" w:hAnsi="Arial"/>
          <w:b/>
          <w:bCs/>
          <w:color w:val="374151"/>
          <w:sz w:val="20"/>
          <w:szCs w:val="20"/>
        </w:rPr>
        <w:t xml:space="preserve">GLM SHAP (Regulatory Layer): </w:t>
      </w:r>
      <w:r>
        <w:rPr>
          <w:rFonts w:ascii="Arial" w:cs="Arial" w:eastAsia="Arial" w:hAnsi="Arial"/>
          <w:color w:val="374151"/>
          <w:sz w:val="20"/>
          <w:szCs w:val="20"/>
        </w:rPr>
        <w:t xml:space="preserve">Exact SHAP values from LinearExplainer, producing rate-filing-ready relativities. These are the coefficients a Chief Actuary signs off on.</w:t>
      </w:r>
    </w:p>
    <w:p>
      <w:pPr>
        <w:pStyle w:val="ListParagraph"/>
        <w:numPr>
          <w:ilvl w:val="0"/>
          <w:numId w:val="2"/>
        </w:numPr>
        <w:spacing w:after="80"/>
      </w:pPr>
      <w:r>
        <w:rPr>
          <w:rFonts w:ascii="Arial" w:cs="Arial" w:eastAsia="Arial" w:hAnsi="Arial"/>
          <w:b/>
          <w:bCs/>
          <w:color w:val="374151"/>
          <w:sz w:val="20"/>
          <w:szCs w:val="20"/>
        </w:rPr>
        <w:t xml:space="preserve">M̂ SHAP (Interaction Discovery Layer): </w:t>
      </w:r>
      <w:r>
        <w:rPr>
          <w:rFonts w:ascii="Arial" w:cs="Arial" w:eastAsia="Arial" w:hAnsi="Arial"/>
          <w:color w:val="374151"/>
          <w:sz w:val="20"/>
          <w:szCs w:val="20"/>
        </w:rPr>
        <w:t xml:space="preserve">TreeExplainer SHAP values showing why M̂ is above or below 1.0 for this property. These identify which compound-peril co-exposures drive the interaction multiplier.</w:t>
      </w:r>
    </w:p>
    <w:p>
      <w:pPr>
        <w:pStyle w:val="ListParagraph"/>
        <w:numPr>
          <w:ilvl w:val="0"/>
          <w:numId w:val="2"/>
        </w:numPr>
        <w:spacing w:after="80"/>
      </w:pPr>
      <w:r>
        <w:rPr>
          <w:rFonts w:ascii="Arial" w:cs="Arial" w:eastAsia="Arial" w:hAnsi="Arial"/>
          <w:b/>
          <w:bCs/>
          <w:color w:val="374151"/>
          <w:sz w:val="20"/>
          <w:szCs w:val="20"/>
        </w:rPr>
        <w:t xml:space="preserve">λ and μ Detail: </w:t>
      </w:r>
      <w:r>
        <w:rPr>
          <w:rFonts w:ascii="Arial" w:cs="Arial" w:eastAsia="Arial" w:hAnsi="Arial"/>
          <w:color w:val="374151"/>
          <w:sz w:val="20"/>
          <w:szCs w:val="20"/>
        </w:rPr>
        <w:t xml:space="preserve">Individual SHAP charts for the frequency and severity sub-models, useful for diagnostic deep-dives.</w:t>
      </w:r>
    </w:p>
    <w:p>
      <w:pPr>
        <w:spacing w:before="200" w:after="100"/>
      </w:pPr>
      <w:r>
        <w:rPr>
          <w:rFonts w:ascii="Arial" w:cs="Arial" w:eastAsia="Arial" w:hAnsi="Arial"/>
          <w:b/>
          <w:bCs/>
          <w:color w:val="B45309"/>
          <w:sz w:val="20"/>
          <w:szCs w:val="20"/>
        </w:rPr>
        <w:t xml:space="preserve">Tier 3 Interaction Decomposition Table</w:t>
      </w:r>
    </w:p>
    <w:p>
      <w:pPr>
        <w:spacing w:after="120"/>
        <w:jc w:val="left"/>
      </w:pPr>
      <w:r>
        <w:rPr>
          <w:rFonts w:ascii="Arial" w:cs="Arial" w:eastAsia="Arial" w:hAnsi="Arial"/>
          <w:b w:val="false"/>
          <w:bCs w:val="false"/>
          <w:i w:val="false"/>
          <w:iCs w:val="false"/>
          <w:color w:val="374151"/>
          <w:sz w:val="20"/>
          <w:szCs w:val="20"/>
        </w:rPr>
        <w:t xml:space="preserve">A structured table showing each active interaction, its input features, the individual feature values, the rule-based multiplier, and the model-learned M̂ contribution. This is the “regulatory proof” table: every interaction can be traced to named features with clear actuarial logic.</w:t>
      </w:r>
    </w:p>
    <w:p>
      <w:pPr>
        <w:pStyle w:val="Heading3"/>
        <w:spacing w:before="240" w:after="120"/>
      </w:pPr>
      <w:r>
        <w:rPr>
          <w:rFonts w:ascii="Arial" w:cs="Arial" w:eastAsia="Arial" w:hAnsi="Arial"/>
          <w:b/>
          <w:bCs/>
          <w:color w:val="6D28D9"/>
          <w:sz w:val="22"/>
          <w:szCs w:val="22"/>
        </w:rPr>
        <w:t xml:space="preserve">Sub-tab 5b: Data &amp; Validation</w:t>
      </w:r>
    </w:p>
    <w:p>
      <w:pPr>
        <w:spacing w:before="200" w:after="100"/>
      </w:pPr>
      <w:r>
        <w:rPr>
          <w:rFonts w:ascii="Arial" w:cs="Arial" w:eastAsia="Arial" w:hAnsi="Arial"/>
          <w:b/>
          <w:bCs/>
          <w:color w:val="B45309"/>
          <w:sz w:val="20"/>
          <w:szCs w:val="20"/>
        </w:rPr>
        <w:t xml:space="preserve">Objective</w:t>
      </w:r>
    </w:p>
    <w:p>
      <w:pPr>
        <w:spacing w:after="120"/>
        <w:jc w:val="left"/>
      </w:pPr>
      <w:r>
        <w:rPr>
          <w:rFonts w:ascii="Arial" w:cs="Arial" w:eastAsia="Arial" w:hAnsi="Arial"/>
          <w:b w:val="false"/>
          <w:bCs w:val="false"/>
          <w:i w:val="false"/>
          <w:iCs w:val="false"/>
          <w:color w:val="374151"/>
          <w:sz w:val="20"/>
          <w:szCs w:val="20"/>
        </w:rPr>
        <w:t xml:space="preserve">Provide dataset documentation, health checks, and statistical validation evidence for technical audiences.</w:t>
      </w:r>
    </w:p>
    <w:p>
      <w:pPr>
        <w:spacing w:after="120"/>
        <w:jc w:val="left"/>
      </w:pPr>
      <w:r>
        <w:rPr>
          <w:rFonts w:ascii="Arial" w:cs="Arial" w:eastAsia="Arial" w:hAnsi="Arial"/>
          <w:b w:val="false"/>
          <w:bCs w:val="false"/>
          <w:i w:val="false"/>
          <w:iCs w:val="false"/>
          <w:color w:val="374151"/>
          <w:sz w:val="20"/>
          <w:szCs w:val="20"/>
        </w:rPr>
        <w:t xml:space="preserve">Contents include: dataset overview table (100K policies, 61 columns, 10 states), missing value analysis, distribution summaries, data quality flags, and synthetic data generation methodology documentation.</w:t>
      </w:r>
    </w:p>
    <w:p>
      <w:r>
        <w:br w:type="page"/>
      </w:r>
    </w:p>
    <w:p>
      <w:pPr>
        <w:pStyle w:val="Heading2"/>
        <w:spacing w:before="300" w:after="160"/>
      </w:pPr>
      <w:r>
        <w:rPr>
          <w:rFonts w:ascii="Arial" w:cs="Arial" w:eastAsia="Arial" w:hAnsi="Arial"/>
          <w:b/>
          <w:bCs/>
          <w:color w:val="1D4ED8"/>
          <w:sz w:val="26"/>
          <w:szCs w:val="26"/>
        </w:rPr>
        <w:t xml:space="preserve">5.8 Tab 6: Methodology</w:t>
      </w:r>
    </w:p>
    <w:p>
      <w:pPr>
        <w:spacing w:after="120"/>
        <w:jc w:val="left"/>
      </w:pPr>
      <w:r>
        <w:rPr>
          <w:rFonts w:ascii="Arial" w:cs="Arial" w:eastAsia="Arial" w:hAnsi="Arial"/>
          <w:b w:val="false"/>
          <w:bCs w:val="false"/>
          <w:i w:val="false"/>
          <w:iCs w:val="false"/>
          <w:color w:val="374151"/>
          <w:sz w:val="20"/>
          <w:szCs w:val="20"/>
        </w:rPr>
        <w:t xml:space="preserve">The reference compendium for technical and regulatory due diligence. Contains six sub-tabs:</w:t>
      </w:r>
    </w:p>
    <w:p>
      <w:pPr>
        <w:spacing w:before="200" w:after="100"/>
      </w:pPr>
      <w:r>
        <w:rPr>
          <w:rFonts w:ascii="Arial" w:cs="Arial" w:eastAsia="Arial" w:hAnsi="Arial"/>
          <w:b/>
          <w:bCs/>
          <w:color w:val="B45309"/>
          <w:sz w:val="20"/>
          <w:szCs w:val="20"/>
        </w:rPr>
        <w:t xml:space="preserve">0 · GLM Foundation</w:t>
      </w:r>
    </w:p>
    <w:p>
      <w:pPr>
        <w:spacing w:after="120"/>
        <w:jc w:val="left"/>
      </w:pPr>
      <w:r>
        <w:rPr>
          <w:rFonts w:ascii="Arial" w:cs="Arial" w:eastAsia="Arial" w:hAnsi="Arial"/>
          <w:b w:val="false"/>
          <w:bCs w:val="false"/>
          <w:i w:val="false"/>
          <w:iCs w:val="false"/>
          <w:color w:val="374151"/>
          <w:sz w:val="20"/>
          <w:szCs w:val="20"/>
        </w:rPr>
        <w:t xml:space="preserve">Explains why the GLM with Tweedie distribution is the actuarial gold standard, including two side-by-side panels: “Why the GLM Is the Gold Standard” (regulatory acceptance, transparency, Tweedie advantage, CAS Monograph alignment) versus “The One Thing the GLM Cannot Do” (additive limitation, interaction blind spot). Includes the step-by-step explanation of how M̂ learns from GLM residuals.</w:t>
      </w:r>
    </w:p>
    <w:p>
      <w:pPr>
        <w:spacing w:before="200" w:after="100"/>
      </w:pPr>
      <w:r>
        <w:rPr>
          <w:rFonts w:ascii="Arial" w:cs="Arial" w:eastAsia="Arial" w:hAnsi="Arial"/>
          <w:b/>
          <w:bCs/>
          <w:color w:val="B45309"/>
          <w:sz w:val="20"/>
          <w:szCs w:val="20"/>
        </w:rPr>
        <w:t xml:space="preserve">1 · Architecture</w:t>
      </w:r>
    </w:p>
    <w:p>
      <w:pPr>
        <w:spacing w:after="120"/>
        <w:jc w:val="left"/>
      </w:pPr>
      <w:r>
        <w:rPr>
          <w:rFonts w:ascii="Arial" w:cs="Arial" w:eastAsia="Arial" w:hAnsi="Arial"/>
          <w:b w:val="false"/>
          <w:bCs w:val="false"/>
          <w:i w:val="false"/>
          <w:iCs w:val="false"/>
          <w:color w:val="374151"/>
          <w:sz w:val="20"/>
          <w:szCs w:val="20"/>
        </w:rPr>
        <w:t xml:space="preserve">The complete pipeline diagram: data ingestion → feature engineering → Poisson GLM (λ) → Gamma GLM (μ) → M̂ ensemble → E[L] → premium → risk score → underwriting triage. Each component is documented with its inputs, outputs, and dependencies.</w:t>
      </w:r>
    </w:p>
    <w:p>
      <w:pPr>
        <w:spacing w:before="200" w:after="100"/>
      </w:pPr>
      <w:r>
        <w:rPr>
          <w:rFonts w:ascii="Arial" w:cs="Arial" w:eastAsia="Arial" w:hAnsi="Arial"/>
          <w:b/>
          <w:bCs/>
          <w:color w:val="B45309"/>
          <w:sz w:val="20"/>
          <w:szCs w:val="20"/>
        </w:rPr>
        <w:t xml:space="preserve">2 · Variable Selection</w:t>
      </w:r>
    </w:p>
    <w:p>
      <w:pPr>
        <w:spacing w:after="120"/>
        <w:jc w:val="left"/>
      </w:pPr>
      <w:r>
        <w:rPr>
          <w:rFonts w:ascii="Arial" w:cs="Arial" w:eastAsia="Arial" w:hAnsi="Arial"/>
          <w:b w:val="false"/>
          <w:bCs w:val="false"/>
          <w:i w:val="false"/>
          <w:iCs w:val="false"/>
          <w:color w:val="374151"/>
          <w:sz w:val="20"/>
          <w:szCs w:val="20"/>
        </w:rPr>
        <w:t xml:space="preserve">Full 25-variable schema with tier assignment, correlation coefficients, data sources, update frequencies, GLM coefficients, and actuarial rationale. This is the reference table for anyone asking “why these 25 variables?”</w:t>
      </w:r>
    </w:p>
    <w:p>
      <w:pPr>
        <w:spacing w:before="200" w:after="100"/>
      </w:pPr>
      <w:r>
        <w:rPr>
          <w:rFonts w:ascii="Arial" w:cs="Arial" w:eastAsia="Arial" w:hAnsi="Arial"/>
          <w:b/>
          <w:bCs/>
          <w:color w:val="B45309"/>
          <w:sz w:val="20"/>
          <w:szCs w:val="20"/>
        </w:rPr>
        <w:t xml:space="preserve">3 · Model Math</w:t>
      </w:r>
    </w:p>
    <w:p>
      <w:pPr>
        <w:spacing w:after="120"/>
        <w:jc w:val="left"/>
      </w:pPr>
      <w:r>
        <w:rPr>
          <w:rFonts w:ascii="Arial" w:cs="Arial" w:eastAsia="Arial" w:hAnsi="Arial"/>
          <w:b w:val="false"/>
          <w:bCs w:val="false"/>
          <w:i w:val="false"/>
          <w:iCs w:val="false"/>
          <w:color w:val="374151"/>
          <w:sz w:val="20"/>
          <w:szCs w:val="20"/>
        </w:rPr>
        <w:t xml:space="preserve">Complete mathematical specification: Poisson frequency GLM, Gamma severity GLM, Tweedie combined model, M̂ ensemble architecture, interaction term mathematics, and the premium formula chain.</w:t>
      </w:r>
    </w:p>
    <w:p>
      <w:pPr>
        <w:spacing w:before="200" w:after="100"/>
      </w:pPr>
      <w:r>
        <w:rPr>
          <w:rFonts w:ascii="Arial" w:cs="Arial" w:eastAsia="Arial" w:hAnsi="Arial"/>
          <w:b/>
          <w:bCs/>
          <w:color w:val="B45309"/>
          <w:sz w:val="20"/>
          <w:szCs w:val="20"/>
        </w:rPr>
        <w:t xml:space="preserve">4 · Explainability</w:t>
      </w:r>
    </w:p>
    <w:p>
      <w:pPr>
        <w:spacing w:after="120"/>
        <w:jc w:val="left"/>
      </w:pPr>
      <w:r>
        <w:rPr>
          <w:rFonts w:ascii="Arial" w:cs="Arial" w:eastAsia="Arial" w:hAnsi="Arial"/>
          <w:b w:val="false"/>
          <w:bCs w:val="false"/>
          <w:i w:val="false"/>
          <w:iCs w:val="false"/>
          <w:color w:val="374151"/>
          <w:sz w:val="20"/>
          <w:szCs w:val="20"/>
        </w:rPr>
        <w:t xml:space="preserve">SHAP methodology documentation: LinearExplainer for GLMs (O(M) exact computation), TreeExplainer for ensemble models, SHAP interaction values for pairwise interaction detection, and how SHAP maps to regulatory reason codes.</w:t>
      </w:r>
    </w:p>
    <w:p>
      <w:pPr>
        <w:spacing w:before="200" w:after="100"/>
      </w:pPr>
      <w:r>
        <w:rPr>
          <w:rFonts w:ascii="Arial" w:cs="Arial" w:eastAsia="Arial" w:hAnsi="Arial"/>
          <w:b/>
          <w:bCs/>
          <w:color w:val="B45309"/>
          <w:sz w:val="20"/>
          <w:szCs w:val="20"/>
        </w:rPr>
        <w:t xml:space="preserve">5 · Regulatory</w:t>
      </w:r>
    </w:p>
    <w:p>
      <w:pPr>
        <w:spacing w:after="120"/>
        <w:jc w:val="left"/>
      </w:pPr>
      <w:r>
        <w:rPr>
          <w:rFonts w:ascii="Arial" w:cs="Arial" w:eastAsia="Arial" w:hAnsi="Arial"/>
          <w:b w:val="false"/>
          <w:bCs w:val="false"/>
          <w:i w:val="false"/>
          <w:iCs w:val="false"/>
          <w:color w:val="374151"/>
          <w:sz w:val="20"/>
          <w:szCs w:val="20"/>
        </w:rPr>
        <w:t xml:space="preserve">NAIC alignment documentation: AI Model Bulletin compliance (adopted by 24+ states), GLM filing procedures, interaction term justification protocols, adverse action reason code generation, and the 79-element NAIC checklist for GLM review.</w:t>
      </w:r>
    </w:p>
    <w:p>
      <w:r>
        <w:br w:type="page"/>
      </w:r>
    </w:p>
    <w:p>
      <w:pPr>
        <w:pStyle w:val="Heading1"/>
        <w:spacing w:before="360" w:after="200"/>
      </w:pPr>
      <w:r>
        <w:rPr>
          <w:rFonts w:ascii="Arial" w:cs="Arial" w:eastAsia="Arial" w:hAnsi="Arial"/>
          <w:b/>
          <w:bCs/>
          <w:color w:val="0F172A"/>
          <w:sz w:val="32"/>
          <w:szCs w:val="32"/>
        </w:rPr>
        <w:t xml:space="preserve">6. Technical Reference</w:t>
      </w:r>
    </w:p>
    <w:p>
      <w:pPr>
        <w:pStyle w:val="Heading2"/>
        <w:spacing w:before="300" w:after="160"/>
      </w:pPr>
      <w:r>
        <w:rPr>
          <w:rFonts w:ascii="Arial" w:cs="Arial" w:eastAsia="Arial" w:hAnsi="Arial"/>
          <w:b/>
          <w:bCs/>
          <w:color w:val="1D4ED8"/>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4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Frontend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Streamlit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Rapid prototyping; interactive widgets; responsive layout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Visualisation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Plotly (go + px)</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Interactive charts: gauges, waterfalls, choropleths, heatmaps, scatter plots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Data Processing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Pandas / NumPy</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DataFrame operations, feature engineering, aggregations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File Format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Parquet + CSV</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Parquet for speed; CSV for transparency and manual inspection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GLM Framework</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statsmodels / glum</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Tweedie GLM fitting with log link; coefficient extraction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Ensemble ML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scikit-learn / XGBoost / LightGBM</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 ensemble: RF + XGB + LGB → Isotonic meta-learner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Explainability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shap (LinearExplainer + TreeExplainer)</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Exact SHAP for GLMs; TreeSHAP for ensemble models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Artifacts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Pickle (artifacts.pkl)</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Serialised models, scalers, feature lists, and training metrics</w:t>
            </w:r>
          </w:p>
        </w:tc>
      </w:tr>
    </w:tbl>
    <w:p>
      <w:pPr>
        <w:spacing w:after="120"/>
        <w:jc w:val="left"/>
      </w:pPr>
      <w:r>
        <w:rPr>
          <w:rFonts w:ascii="Arial" w:cs="Arial" w:eastAsia="Arial" w:hAnsi="Arial"/>
          <w:b w:val="false"/>
          <w:bCs w:val="false"/>
          <w:i w:val="false"/>
          <w:iCs w:val="false"/>
          <w:color w:val="374151"/>
          <w:sz w:val="20"/>
          <w:szCs w:val="20"/>
        </w:rPr>
        <w:t xml:space="preserve"/>
      </w:r>
    </w:p>
    <w:p>
      <w:pPr>
        <w:pStyle w:val="Heading2"/>
        <w:spacing w:before="300" w:after="160"/>
      </w:pPr>
      <w:r>
        <w:rPr>
          <w:rFonts w:ascii="Arial" w:cs="Arial" w:eastAsia="Arial" w:hAnsi="Arial"/>
          <w:b/>
          <w:bCs/>
          <w:color w:val="1D4ED8"/>
          <w:sz w:val="26"/>
          <w:szCs w:val="26"/>
        </w:rPr>
        <w:t xml:space="preserve">6.2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6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app.py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Main Streamlit application (~5,400 lines). All six tabs, sidebar, header, CSS, and visualisation logic.</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predictor.py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Scoring engine (v7). Functions: predict(), predict_baseline(), predict_whatif(), batch_predict(). Implements the λ × μ × M̂ pipeline.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model_trainer.py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Training pipeline (v6). Fits Poisson/Gamma GLMs, trains M̂ ensemble, computes metrics, serialises artifacts.pkl.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data_generator.py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Synthetic data generator (v6). Produces 100K policies with copula-based dependencies and embedded interaction effects.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config/scoring_config.py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Default pricing configuration: loss ratio target, expense load, score weights, interaction override values.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models/artifacts.pkl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Serialised training artifacts: GLM coefficients, ensemble models, scalers, feature lists, training metrics.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data/homeowners_data.csv</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Full 100K-policy synthetic dataset (61 columns). Used for portfolio-level analytics.</w:t>
            </w:r>
          </w:p>
        </w:tc>
      </w:tr>
    </w:tbl>
    <w:p>
      <w:pPr>
        <w:spacing w:after="120"/>
        <w:jc w:val="left"/>
      </w:pPr>
      <w:r>
        <w:rPr>
          <w:rFonts w:ascii="Arial" w:cs="Arial" w:eastAsia="Arial" w:hAnsi="Arial"/>
          <w:b w:val="false"/>
          <w:bCs w:val="false"/>
          <w:i w:val="false"/>
          <w:iCs w:val="false"/>
          <w:color w:val="374151"/>
          <w:sz w:val="20"/>
          <w:szCs w:val="20"/>
        </w:rPr>
        <w:t xml:space="preserve"/>
      </w:r>
    </w:p>
    <w:p>
      <w:pPr>
        <w:pStyle w:val="Heading2"/>
        <w:spacing w:before="300" w:after="160"/>
      </w:pPr>
      <w:r>
        <w:rPr>
          <w:rFonts w:ascii="Arial" w:cs="Arial" w:eastAsia="Arial" w:hAnsi="Arial"/>
          <w:b/>
          <w:bCs/>
          <w:color w:val="1D4ED8"/>
          <w:sz w:val="26"/>
          <w:szCs w:val="26"/>
        </w:rPr>
        <w:t xml:space="preserve">6.3 Data Schema Summary</w:t>
      </w:r>
    </w:p>
    <w:p>
      <w:pPr>
        <w:spacing w:after="120"/>
        <w:jc w:val="left"/>
      </w:pPr>
      <w:r>
        <w:rPr>
          <w:rFonts w:ascii="Arial" w:cs="Arial" w:eastAsia="Arial" w:hAnsi="Arial"/>
          <w:b w:val="false"/>
          <w:bCs w:val="false"/>
          <w:i w:val="false"/>
          <w:iCs w:val="false"/>
          <w:color w:val="374151"/>
          <w:sz w:val="20"/>
          <w:szCs w:val="20"/>
        </w:rPr>
        <w:t xml:space="preserve">The synthetic dataset contains 100,000 policies across 10 US states with 61 columns organised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 Examples</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Policy identifiers</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policy_id, policy_year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Tier 1: Property</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 construction_type, roof_material, year_built, home_value, coverage_amount, square_footage, stories, protection_class, occupancy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Tier 2: Behavioural</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prior_claims_3yr, credit_score, deductible, swimming_pool, trampoline, dog, security_system, smoke_detectors, sprinkler_system, gated_community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Tier 3: Hazard</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wildfire_zone, flood_zone, earthquake_zone, hail_zone, dist_to_coast_mi, dist_to_fire_station_mi, roof_age_yr, vegetation_risk_composite, slope_steepness_pct, post_burn_rainfall_intensity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Interior condition</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has_knob_tube_wiring, has_polybutylene_pipe, defensible_space_score, permit_score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Data quality flags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data_vintage_flag, rcv_vintage_flag, is_near_duplicate, renewal_credit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Ground truth (synthetic)</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lambda_true, mu_true, M_true, expected_loss_true, claim_occurred, claim_count, claim_amount, total_loss, is_cat_event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9</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Derived scores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risk_score_true, risk_band, risk_score_a2, indicated_premium, expected_loss_ratio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Trend/vintage</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trend_factor, trend_rate_annual, vintage_cat_multiplier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r>
    </w:tbl>
    <w:p>
      <w:pPr>
        <w:spacing w:after="120"/>
        <w:jc w:val="left"/>
      </w:pPr>
      <w:r>
        <w:rPr>
          <w:rFonts w:ascii="Arial" w:cs="Arial" w:eastAsia="Arial" w:hAnsi="Arial"/>
          <w:b w:val="false"/>
          <w:bCs w:val="false"/>
          <w:i w:val="false"/>
          <w:iCs w:val="false"/>
          <w:color w:val="374151"/>
          <w:sz w:val="20"/>
          <w:szCs w:val="20"/>
        </w:rPr>
        <w:t xml:space="preserve"/>
      </w:r>
    </w:p>
    <w:p>
      <w:pPr>
        <w:pStyle w:val="Heading2"/>
        <w:spacing w:before="300" w:after="160"/>
      </w:pPr>
      <w:r>
        <w:rPr>
          <w:rFonts w:ascii="Arial" w:cs="Arial" w:eastAsia="Arial" w:hAnsi="Arial"/>
          <w:b/>
          <w:bCs/>
          <w:color w:val="1D4ED8"/>
          <w:sz w:val="26"/>
          <w:szCs w:val="26"/>
        </w:rPr>
        <w:t xml:space="preserve">6.4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7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λ (lambda)</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Annual claim probability, estimated by the Poisson GLM. Typical range: 0.02–0.15.</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μ (mu)</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Expected claim severity (dollar amount), estimated by the Gamma GLM. Typical range: $5,000–$80,000.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M̂ (M-hat)</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Interaction multiplier from the stacked ensemble. M̂ = 1.0 means no interaction effect; M̂ = 3.50 means the GLM under-predicts by 3.5×.</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Expected annual loss = λ × μ × M̂. The pure premium before expense loading.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GLM</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Generalized Linear Model. The regulatory gold standard for insurance pricing.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Tweedie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 compound Poisson-Gamma distribution that handles zero-inflated continuous data natively.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SHAP</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SHapley Additive exPlanations. A game-theoretic framework for decomposing predictions into feature contributions.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Loss Ratio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Claims paid / premiums earned. Target: 65%. Above 100% means underwriting losses.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Protection Class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ISO 1–10 scale measuring fire department and water supply quality.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WUI</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Wildland-Urban Interface. The zone where development meets undeveloped wildland, creating elevated wildfire exposure.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NAIC</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National Association of Insurance Commissioners. The standard-setting body for US insurance regulation.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CAS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Casualty Actuarial Society. The professional body that publishes the Monograph on GLM methodology.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CLUE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Comprehensive Loss Underwriting Exchange. LexisNexis database tracking 7 years of property claims history.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RCV</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Replacement Cost Value. The cost to rebuild a structure, distinct from market value.</w:t>
            </w:r>
          </w:p>
        </w:tc>
      </w:tr>
    </w:tbl>
    <w:p>
      <w:pPr>
        <w:spacing w:after="120"/>
        <w:jc w:val="left"/>
      </w:pPr>
      <w:r>
        <w:rPr>
          <w:rFonts w:ascii="Arial" w:cs="Arial" w:eastAsia="Arial" w:hAnsi="Arial"/>
          <w:b w:val="false"/>
          <w:bCs w:val="false"/>
          <w:i w:val="false"/>
          <w:iCs w:val="false"/>
          <w:color w:val="374151"/>
          <w:sz w:val="20"/>
          <w:szCs w:val="20"/>
        </w:rPr>
        <w:t xml:space="preserve"/>
      </w:r>
    </w:p>
    <w:p>
      <w:r>
        <w:br w:type="page"/>
      </w:r>
    </w:p>
    <w:p>
      <w:pPr>
        <w:pStyle w:val="Heading1"/>
        <w:spacing w:before="360" w:after="200"/>
      </w:pPr>
      <w:r>
        <w:rPr>
          <w:rFonts w:ascii="Arial" w:cs="Arial" w:eastAsia="Arial" w:hAnsi="Arial"/>
          <w:b/>
          <w:bCs/>
          <w:color w:val="0F172A"/>
          <w:sz w:val="32"/>
          <w:szCs w:val="32"/>
        </w:rPr>
        <w:t xml:space="preserve">7. Summary</w:t>
      </w:r>
    </w:p>
    <w:p>
      <w:pPr>
        <w:spacing w:after="120"/>
        <w:jc w:val="left"/>
      </w:pPr>
      <w:r>
        <w:rPr>
          <w:rFonts w:ascii="Arial" w:cs="Arial" w:eastAsia="Arial" w:hAnsi="Arial"/>
          <w:b w:val="false"/>
          <w:bCs w:val="false"/>
          <w:i w:val="false"/>
          <w:iCs w:val="false"/>
          <w:color w:val="374151"/>
          <w:sz w:val="20"/>
          <w:szCs w:val="20"/>
        </w:rPr>
        <w:t xml:space="preserve">The US Homeowners Risk Scoring Engine demonstrates a production-ready architecture for interaction-aware insurance pricing. The core insight is straightforward: risks compound, and pricing models must compound with them.</w:t>
      </w:r>
    </w:p>
    <w:p>
      <w:pPr>
        <w:spacing w:after="120"/>
        <w:jc w:val="left"/>
      </w:pPr>
      <w:r>
        <w:rPr>
          <w:rFonts w:ascii="Arial" w:cs="Arial" w:eastAsia="Arial" w:hAnsi="Arial"/>
          <w:b w:val="false"/>
          <w:bCs w:val="false"/>
          <w:i w:val="false"/>
          <w:iCs w:val="false"/>
          <w:color w:val="374151"/>
          <w:sz w:val="20"/>
          <w:szCs w:val="20"/>
        </w:rPr>
        <w:t xml:space="preserve">The GLM with Tweedie distribution remains the regulatory gold standard and the foundation of this solution. What the M̂ interaction layer adds is the ability to discover, quantify, and price the compound-peril effects that additive models systematically miss. The result is a 12-percentage-point R² improvement, 22–25% portfolio reclassification, and $5–$7.5M in annual loss ratio improvement on a $250M book.</w:t>
      </w:r>
    </w:p>
    <w:p>
      <w:pPr>
        <w:spacing w:after="120"/>
        <w:jc w:val="left"/>
      </w:pPr>
      <w:r>
        <w:rPr>
          <w:rFonts w:ascii="Arial" w:cs="Arial" w:eastAsia="Arial" w:hAnsi="Arial"/>
          <w:b w:val="false"/>
          <w:bCs w:val="false"/>
          <w:i w:val="false"/>
          <w:iCs w:val="false"/>
          <w:color w:val="374151"/>
          <w:sz w:val="20"/>
          <w:szCs w:val="20"/>
        </w:rPr>
        <w:t xml:space="preserve">For carrier prospects, the message is direct: if a competitor uses Tier 3 interaction models and you do not, they will adversely select against you by cherry-picking the properties your additive model under-prices.</w:t>
      </w:r>
    </w:p>
    <w:p>
      <w:pPr>
        <w:spacing w:after="120"/>
        <w:jc w:val="left"/>
      </w:pPr>
      <w:r>
        <w:rPr>
          <w:rFonts w:ascii="Arial" w:cs="Arial" w:eastAsia="Arial" w:hAnsi="Arial"/>
          <w:b w:val="false"/>
          <w:bCs w:val="false"/>
          <w:i w:val="false"/>
          <w:iCs w:val="false"/>
          <w:color w:val="374151"/>
          <w:sz w:val="20"/>
          <w:szCs w:val="20"/>
        </w:rPr>
        <w:t xml:space="preserve">For internal leadership, the message is equally clear: this demo is not a research project. It is a sellable capability backed by peer-reviewed actuarial methodology, regulatory-compliant explainability, and a quantifiable financial ROI.</w:t>
      </w:r>
    </w:p>
    <w:p>
      <w:pPr>
        <w:spacing w:after="120"/>
        <w:jc w:val="left"/>
      </w:pPr>
      <w:r>
        <w:rPr>
          <w:rFonts w:ascii="Arial" w:cs="Arial" w:eastAsia="Arial" w:hAnsi="Arial"/>
          <w:b w:val="false"/>
          <w:bCs w:val="false"/>
          <w:i w:val="false"/>
          <w:iCs w:val="false"/>
          <w:color w:val="374151"/>
          <w:sz w:val="20"/>
          <w:szCs w:val="20"/>
        </w:rPr>
        <w:t xml:space="preserve"/>
      </w:r>
    </w:p>
    <w:p>
      <w:pPr>
        <w:spacing w:after="120"/>
        <w:jc w:val="center"/>
      </w:pPr>
      <w:r>
        <w:rPr>
          <w:rFonts w:ascii="Arial" w:cs="Arial" w:eastAsia="Arial" w:hAnsi="Arial"/>
          <w:b w:val="false"/>
          <w:bCs w:val="false"/>
          <w:i/>
          <w:iCs/>
          <w:color w:val="6B7280"/>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rFonts w:ascii="Arial" w:cs="Arial" w:eastAsia="Arial" w:hAnsi="Arial"/>
        <w:color w:val="6B7280"/>
        <w:sz w:val="16"/>
        <w:szCs w:val="16"/>
      </w:rPr>
      <w:t xml:space="preserve">US Homeowners Risk Scoring Engine</w:t>
    </w:r>
    <w:r>
      <w:rPr>
        <w:rFonts w:ascii="Arial" w:cs="Arial" w:eastAsia="Arial" w:hAnsi="Arial"/>
        <w:color w:val="6B7280"/>
        <w:sz w:val="16"/>
        <w:szCs w:val="16"/>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D4ED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6D28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2026-03-10T02:47:55.892Z</dcterms:created>
  <dcterms:modified xsi:type="dcterms:W3CDTF">2026-03-10T02:47:55.893Z</dcterms:modified>
</cp:coreProperties>
</file>

<file path=docProps/custom.xml><?xml version="1.0" encoding="utf-8"?>
<Properties xmlns="http://schemas.openxmlformats.org/officeDocument/2006/custom-properties" xmlns:vt="http://schemas.openxmlformats.org/officeDocument/2006/docPropsVTypes"/>
</file>