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spacing w:before="0" w:after="120"/>
        <w:jc w:val="center"/>
      </w:pPr>
      <w:r>
        <w:rPr>
          <w:rFonts w:ascii="Arial" w:cs="Arial" w:eastAsia="Arial" w:hAnsi="Arial"/>
          <w:b/>
          <w:bCs/>
          <w:color w:val="1B2A4A"/>
          <w:sz w:val="44"/>
          <w:szCs w:val="44"/>
        </w:rPr>
        <w:t xml:space="preserve">HOMEOWNERS INTELLIGENCE LAYER</w:t>
      </w:r>
    </w:p>
    <w:p>
      <w:pPr>
        <w:spacing w:before="0" w:after="60"/>
        <w:jc w:val="center"/>
      </w:pPr>
      <w:r>
        <w:rPr>
          <w:rFonts w:ascii="Arial" w:cs="Arial" w:eastAsia="Arial" w:hAnsi="Arial"/>
          <w:color w:val="8D9EAD"/>
          <w:sz w:val="28"/>
          <w:szCs w:val="28"/>
        </w:rPr>
        <w:t xml:space="preserve">GLM + GA2M Two-Layer Pricing Architecture</w:t>
      </w:r>
    </w:p>
    <w:p>
      <w:pPr>
        <w:pBdr>
          <w:top w:val="single" w:color="D4A843" w:sz="4"/>
        </w:pBdr>
        <w:spacing w:before="200" w:after="60"/>
        <w:jc w:val="center"/>
      </w:pPr>
      <w:r>
        <w:rPr>
          <w:rFonts w:ascii="Arial" w:cs="Arial" w:eastAsia="Arial" w:hAnsi="Arial"/>
          <w:b/>
          <w:bCs/>
          <w:color w:val="D4A843"/>
          <w:sz w:val="24"/>
          <w:szCs w:val="24"/>
        </w:rPr>
        <w:t xml:space="preserve">Interactive Demo Walkthrough &amp; Presenter Narrative</w:t>
      </w:r>
    </w:p>
    <w:p>
      <w:pPr>
        <w:spacing w:before="400" w:after="60"/>
        <w:jc w:val="center"/>
      </w:pPr>
      <w:r>
        <w:rPr>
          <w:rFonts w:ascii="Arial" w:cs="Arial" w:eastAsia="Arial" w:hAnsi="Arial"/>
          <w:color w:val="8D9EAD"/>
          <w:sz w:val="20"/>
          <w:szCs w:val="20"/>
        </w:rPr>
        <w:t xml:space="preserve">Confidential — ValueMomentum Insurance Technology</w:t>
      </w:r>
    </w:p>
    <w:p>
      <w:pPr>
        <w:spacing w:before="60" w:after="0"/>
        <w:jc w:val="center"/>
      </w:pPr>
      <w:r>
        <w:rPr>
          <w:rFonts w:ascii="Arial" w:cs="Arial" w:eastAsia="Arial" w:hAnsi="Arial"/>
          <w:color w:val="8D9EAD"/>
          <w:sz w:val="20"/>
          <w:szCs w:val="20"/>
        </w:rPr>
        <w:t xml:space="preserve">Target Audience: VP Analytics · Chief Actuary · Head of Pricing</w:t>
      </w:r>
    </w:p>
    <w:p>
      <w:pPr>
        <w:spacing w:before="60" w:after="0"/>
        <w:jc w:val="center"/>
      </w:pPr>
      <w:r>
        <w:rPr>
          <w:rFonts w:ascii="Arial" w:cs="Arial" w:eastAsia="Arial" w:hAnsi="Arial"/>
          <w:color w:val="8D9EAD"/>
          <w:sz w:val="20"/>
          <w:szCs w:val="20"/>
        </w:rPr>
        <w:t xml:space="preserve">Recommended Duration: 25–35 minutes + Q&amp;A</w:t>
      </w:r>
    </w:p>
    <w:p>
      <w:r>
        <w:br w:type="page"/>
      </w:r>
    </w:p>
    <w:p>
      <w:pPr>
        <w:pStyle w:val="Heading1"/>
        <w:spacing w:before="360" w:after="200"/>
      </w:pPr>
      <w:r>
        <w:t xml:space="preserve">Contents</w:t>
      </w:r>
    </w:p>
    <w:p>
      <w:pPr>
        <w:spacing w:before="0" w:after="120"/>
      </w:pPr>
      <w:r>
        <w:rPr>
          <w:rFonts w:ascii="Arial" w:cs="Arial" w:eastAsia="Arial" w:hAnsi="Arial"/>
          <w:color w:val="1B2A4A"/>
          <w:sz w:val="22"/>
          <w:szCs w:val="22"/>
        </w:rPr>
        <w:t xml:space="preserve">1.  Before You Present — Setup &amp; Positioning</w:t>
      </w:r>
    </w:p>
    <w:p>
      <w:pPr>
        <w:spacing w:before="0" w:after="120"/>
      </w:pPr>
      <w:r>
        <w:rPr>
          <w:rFonts w:ascii="Arial" w:cs="Arial" w:eastAsia="Arial" w:hAnsi="Arial"/>
          <w:color w:val="1B2A4A"/>
          <w:sz w:val="22"/>
          <w:szCs w:val="22"/>
        </w:rPr>
        <w:t xml:space="preserve">2.  The Opening — The Problem Worth Solving (2 min)</w:t>
      </w:r>
    </w:p>
    <w:p>
      <w:pPr>
        <w:spacing w:before="0" w:after="120"/>
      </w:pPr>
      <w:r>
        <w:rPr>
          <w:rFonts w:ascii="Arial" w:cs="Arial" w:eastAsia="Arial" w:hAnsi="Arial"/>
          <w:color w:val="1B2A4A"/>
          <w:sz w:val="22"/>
          <w:szCs w:val="22"/>
        </w:rPr>
        <w:t xml:space="preserve">3.  Business Case Tab — Show Me the Money (8 min)</w:t>
      </w:r>
    </w:p>
    <w:p>
      <w:pPr>
        <w:spacing w:before="0" w:after="120"/>
      </w:pPr>
      <w:r>
        <w:rPr>
          <w:rFonts w:ascii="Arial" w:cs="Arial" w:eastAsia="Arial" w:hAnsi="Arial"/>
          <w:color w:val="1B2A4A"/>
          <w:sz w:val="22"/>
          <w:szCs w:val="22"/>
        </w:rPr>
        <w:t xml:space="preserve">4.  Intelligence Signals Tab — The Science (8 min)</w:t>
      </w:r>
    </w:p>
    <w:p>
      <w:pPr>
        <w:spacing w:before="0" w:after="120"/>
      </w:pPr>
      <w:r>
        <w:rPr>
          <w:rFonts w:ascii="Arial" w:cs="Arial" w:eastAsia="Arial" w:hAnsi="Arial"/>
          <w:color w:val="1B2A4A"/>
          <w:sz w:val="22"/>
          <w:szCs w:val="22"/>
        </w:rPr>
        <w:t xml:space="preserve">5.  Policy Lens Tab — The Underwriter Experience (5 min)</w:t>
      </w:r>
    </w:p>
    <w:p>
      <w:pPr>
        <w:spacing w:before="0" w:after="120"/>
      </w:pPr>
      <w:r>
        <w:rPr>
          <w:rFonts w:ascii="Arial" w:cs="Arial" w:eastAsia="Arial" w:hAnsi="Arial"/>
          <w:color w:val="1B2A4A"/>
          <w:sz w:val="22"/>
          <w:szCs w:val="22"/>
        </w:rPr>
        <w:t xml:space="preserve">6.  Framework Tab — How It Works Under the Hood (4 min)</w:t>
      </w:r>
    </w:p>
    <w:p>
      <w:pPr>
        <w:spacing w:before="0" w:after="120"/>
      </w:pPr>
      <w:r>
        <w:rPr>
          <w:rFonts w:ascii="Arial" w:cs="Arial" w:eastAsia="Arial" w:hAnsi="Arial"/>
          <w:color w:val="1B2A4A"/>
          <w:sz w:val="22"/>
          <w:szCs w:val="22"/>
        </w:rPr>
        <w:t xml:space="preserve">7.  Closing &amp; Objection Handling (3 min)</w:t>
      </w:r>
    </w:p>
    <w:p>
      <w:pPr>
        <w:spacing w:before="0" w:after="120"/>
      </w:pPr>
      <w:r>
        <w:rPr>
          <w:rFonts w:ascii="Arial" w:cs="Arial" w:eastAsia="Arial" w:hAnsi="Arial"/>
          <w:color w:val="1B2A4A"/>
          <w:sz w:val="22"/>
          <w:szCs w:val="22"/>
        </w:rPr>
        <w:t xml:space="preserve">8.  Appendix — Assumptions &amp; Honest Framing</w:t>
      </w:r>
    </w:p>
    <w:p>
      <w:r>
        <w:br w:type="page"/>
      </w:r>
    </w:p>
    <w:p>
      <w:pPr>
        <w:pStyle w:val="Heading1"/>
        <w:spacing w:before="360" w:after="200"/>
      </w:pPr>
      <w:r>
        <w:t xml:space="preserve">1. Before You Present</w:t>
      </w:r>
    </w:p>
    <w:p>
      <w:pPr>
        <w:pStyle w:val="Heading2"/>
        <w:spacing w:before="360" w:after="200"/>
      </w:pPr>
      <w:r>
        <w:t xml:space="preserve">Pre-Meeting Preparation</w:t>
      </w:r>
    </w:p>
    <w:p>
      <w:pPr>
        <w:spacing w:before="0" w:after="120"/>
      </w:pPr>
      <w:r>
        <w:rPr>
          <w:rFonts w:ascii="Arial" w:cs="Arial" w:eastAsia="Arial" w:hAnsi="Arial"/>
          <w:b/>
          <w:bCs/>
          <w:color w:val="1B2A4A"/>
          <w:sz w:val="22"/>
          <w:szCs w:val="22"/>
        </w:rPr>
        <w:t xml:space="preserve">Know your audience. </w:t>
      </w:r>
      <w:r>
        <w:rPr>
          <w:rFonts w:ascii="Arial" w:cs="Arial" w:eastAsia="Arial" w:hAnsi="Arial"/>
          <w:color w:val="333333"/>
          <w:sz w:val="22"/>
          <w:szCs w:val="22"/>
        </w:rPr>
        <w:t xml:space="preserve">This demo is designed for three personas, each listening for different signals:</w:t>
      </w:r>
    </w:p>
    <w:p>
      <w:pPr>
        <w:pStyle w:val="ListParagraph"/>
        <w:numPr>
          <w:ilvl w:val="0"/>
          <w:numId w:val="2"/>
        </w:numPr>
        <w:spacing w:before="0" w:after="80"/>
      </w:pPr>
      <w:r>
        <w:rPr>
          <w:rFonts w:ascii="Arial" w:cs="Arial" w:eastAsia="Arial" w:hAnsi="Arial"/>
          <w:b/>
          <w:bCs/>
          <w:color w:val="1B2A4A"/>
          <w:sz w:val="22"/>
          <w:szCs w:val="22"/>
        </w:rPr>
        <w:t xml:space="preserve">VP Analytics / Head of Data Science: </w:t>
      </w:r>
      <w:r>
        <w:rPr>
          <w:rFonts w:ascii="Arial" w:cs="Arial" w:eastAsia="Arial" w:hAnsi="Arial"/>
          <w:color w:val="333333"/>
          <w:sz w:val="22"/>
          <w:szCs w:val="22"/>
        </w:rPr>
        <w:t xml:space="preserve">Wants to see model lift, validation methodology, and deployment feasibility. Responds to R², MAPE, out-of-sample discipline.</w:t>
      </w:r>
    </w:p>
    <w:p>
      <w:pPr>
        <w:pStyle w:val="ListParagraph"/>
        <w:numPr>
          <w:ilvl w:val="0"/>
          <w:numId w:val="2"/>
        </w:numPr>
        <w:spacing w:before="0" w:after="80"/>
      </w:pPr>
      <w:r>
        <w:rPr>
          <w:rFonts w:ascii="Arial" w:cs="Arial" w:eastAsia="Arial" w:hAnsi="Arial"/>
          <w:b/>
          <w:bCs/>
          <w:color w:val="1B2A4A"/>
          <w:sz w:val="22"/>
          <w:szCs w:val="22"/>
        </w:rPr>
        <w:t xml:space="preserve">Chief Actuary: </w:t>
      </w:r>
      <w:r>
        <w:rPr>
          <w:rFonts w:ascii="Arial" w:cs="Arial" w:eastAsia="Arial" w:hAnsi="Arial"/>
          <w:color w:val="333333"/>
          <w:sz w:val="22"/>
          <w:szCs w:val="22"/>
        </w:rPr>
        <w:t xml:space="preserve">Wants regulatory defensibility, separation of concerns between GLM and intelligence layer, and proof that the model doesn’t inflate book premium. Responds to risk neutrality, corridor bounds, and glass-box interpretability.</w:t>
      </w:r>
    </w:p>
    <w:p>
      <w:pPr>
        <w:pStyle w:val="ListParagraph"/>
        <w:numPr>
          <w:ilvl w:val="0"/>
          <w:numId w:val="2"/>
        </w:numPr>
        <w:spacing w:before="0" w:after="80"/>
      </w:pPr>
      <w:r>
        <w:rPr>
          <w:rFonts w:ascii="Arial" w:cs="Arial" w:eastAsia="Arial" w:hAnsi="Arial"/>
          <w:b/>
          <w:bCs/>
          <w:color w:val="1B2A4A"/>
          <w:sz w:val="22"/>
          <w:szCs w:val="22"/>
        </w:rPr>
        <w:t xml:space="preserve">Head of Pricing / Underwriting VP: </w:t>
      </w:r>
      <w:r>
        <w:rPr>
          <w:rFonts w:ascii="Arial" w:cs="Arial" w:eastAsia="Arial" w:hAnsi="Arial"/>
          <w:color w:val="333333"/>
          <w:sz w:val="22"/>
          <w:szCs w:val="22"/>
        </w:rPr>
        <w:t xml:space="preserve">Wants to see dollar impact on the book, competitive exposure from mispricing, and specific policy-level stories. Responds to premium at risk, adverse selection correction, and named-peril archetypes.</w:t>
      </w:r>
    </w:p>
    <w:p>
      <w:pPr>
        <w:spacing w:before="0" w:after="120"/>
      </w:pPr>
    </w:p>
    <w:p>
      <w:pPr>
        <w:spacing w:before="0" w:after="120"/>
      </w:pPr>
      <w:r>
        <w:rPr>
          <w:rFonts w:ascii="Arial" w:cs="Arial" w:eastAsia="Arial" w:hAnsi="Arial"/>
          <w:b/>
          <w:bCs/>
          <w:color w:val="1B2A4A"/>
          <w:sz w:val="22"/>
          <w:szCs w:val="22"/>
        </w:rPr>
        <w:t xml:space="preserve">Environment check: </w:t>
      </w:r>
      <w:r>
        <w:rPr>
          <w:rFonts w:ascii="Arial" w:cs="Arial" w:eastAsia="Arial" w:hAnsi="Arial"/>
          <w:color w:val="333333"/>
          <w:sz w:val="22"/>
          <w:szCs w:val="22"/>
        </w:rPr>
        <w:t xml:space="preserve">Ensure the demo is running locally (python app.py) and loads within 3–5 seconds. Pre-click through all four tabs to confirm no callback errors. Have the “Wildfire Risk” archetype pre-selected in Policy Lens.</w:t>
      </w:r>
    </w:p>
    <w:p>
      <w:pPr>
        <w:pStyle w:val="Heading2"/>
        <w:spacing w:before="360" w:after="200"/>
      </w:pPr>
      <w:r>
        <w:t xml:space="preserve">Positioning Statement</w:t>
      </w:r>
    </w:p>
    <w:p>
      <w:pPr>
        <w:spacing w:before="0" w:after="120"/>
      </w:pPr>
      <w:r>
        <w:rPr>
          <w:rFonts w:ascii="Arial" w:cs="Arial" w:eastAsia="Arial" w:hAnsi="Arial"/>
          <w:color w:val="333333"/>
          <w:sz w:val="22"/>
          <w:szCs w:val="22"/>
        </w:rPr>
        <w:t xml:space="preserve">Open with this framing before touching the demo:</w:t>
      </w:r>
    </w:p>
    <w:p>
      <w:pPr>
        <w:pBdr>
          <w:left w:val="single" w:color="2EC4B6" w:sz="8"/>
        </w:pBdr>
        <w:spacing w:before="80" w:after="80"/>
        <w:ind w:left="360"/>
      </w:pPr>
      <w:r>
        <w:rPr>
          <w:rFonts w:ascii="Arial" w:cs="Arial" w:eastAsia="Arial" w:hAnsi="Arial"/>
          <w:b/>
          <w:bCs/>
          <w:color w:val="2EC4B6"/>
          <w:sz w:val="20"/>
          <w:szCs w:val="20"/>
        </w:rPr>
        <w:t xml:space="preserve">TALK TRACK: </w:t>
      </w:r>
      <w:r>
        <w:rPr>
          <w:rFonts w:ascii="Arial" w:cs="Arial" w:eastAsia="Arial" w:hAnsi="Arial"/>
          <w:i/>
          <w:iCs/>
          <w:color w:val="555555"/>
          <w:sz w:val="20"/>
          <w:szCs w:val="20"/>
        </w:rPr>
        <w:t xml:space="preserve">What we’re about to show you is not a black-box replacement for your GLM. It’s a glass-box intelligence layer that sits on top of your existing rating plan and captures the non-linear and interaction signals that a log-linear GLM structurally cannot represent — wildfire risk that accelerates exponentially, roof vulnerability that compounds with hail exposure, building code thresholds that create cliffs in loss frequency. The layer is fully interpretable, every prediction decomposes into auditable per-feature contributions, and it’s provably risk-neutral: total book premium doesn’t change by a single dollar.</w:t>
      </w:r>
    </w:p>
    <w:p>
      <w:r>
        <w:br w:type="page"/>
      </w:r>
    </w:p>
    <w:p>
      <w:pPr>
        <w:pStyle w:val="Heading1"/>
        <w:spacing w:before="360" w:after="200"/>
      </w:pPr>
      <w:r>
        <w:t xml:space="preserve">2. The Opening — The Problem Worth Solving</w:t>
      </w:r>
    </w:p>
    <w:p>
      <w:pPr>
        <w:spacing w:before="40" w:after="80"/>
        <w:jc w:val="right"/>
      </w:pPr>
      <w:r>
        <w:rPr>
          <w:rFonts w:ascii="Arial" w:cs="Arial" w:eastAsia="Arial" w:hAnsi="Arial"/>
          <w:b/>
          <w:bCs/>
          <w:color w:val="8D9EAD"/>
          <w:sz w:val="18"/>
          <w:szCs w:val="18"/>
        </w:rPr>
        <w:t xml:space="preserve">⏱ 2 min</w:t>
      </w:r>
    </w:p>
    <w:p>
      <w:pPr>
        <w:spacing w:before="0" w:after="120"/>
      </w:pPr>
      <w:r>
        <w:rPr>
          <w:rFonts w:ascii="Arial" w:cs="Arial" w:eastAsia="Arial" w:hAnsi="Arial"/>
          <w:b/>
          <w:bCs/>
          <w:color w:val="1B2A4A"/>
          <w:sz w:val="22"/>
          <w:szCs w:val="22"/>
        </w:rPr>
        <w:t xml:space="preserve">Do not open the demo yet. </w:t>
      </w:r>
      <w:r>
        <w:rPr>
          <w:rFonts w:ascii="Arial" w:cs="Arial" w:eastAsia="Arial" w:hAnsi="Arial"/>
          <w:color w:val="333333"/>
          <w:sz w:val="22"/>
          <w:szCs w:val="22"/>
        </w:rPr>
        <w:t xml:space="preserve">Start with the problem statement verbally.</w:t>
      </w:r>
    </w:p>
    <w:p>
      <w:pPr>
        <w:spacing w:before="0" w:after="120"/>
      </w:pPr>
    </w:p>
    <w:p>
      <w:pPr>
        <w:pBdr>
          <w:left w:val="single" w:color="2EC4B6" w:sz="8"/>
        </w:pBdr>
        <w:spacing w:before="80" w:after="80"/>
        <w:ind w:left="360"/>
      </w:pPr>
      <w:r>
        <w:rPr>
          <w:rFonts w:ascii="Arial" w:cs="Arial" w:eastAsia="Arial" w:hAnsi="Arial"/>
          <w:b/>
          <w:bCs/>
          <w:color w:val="2EC4B6"/>
          <w:sz w:val="20"/>
          <w:szCs w:val="20"/>
        </w:rPr>
        <w:t xml:space="preserve">TALK TRACK: </w:t>
      </w:r>
      <w:r>
        <w:rPr>
          <w:rFonts w:ascii="Arial" w:cs="Arial" w:eastAsia="Arial" w:hAnsi="Arial"/>
          <w:i/>
          <w:iCs/>
          <w:color w:val="555555"/>
          <w:sz w:val="20"/>
          <w:szCs w:val="20"/>
        </w:rPr>
        <w:t xml:space="preserve">Let me ask a question that probably keeps your pricing team up at night: of the policies in your book right now, how many are you confident are priced within 10% of their true expected loss? Our analysis across carrier portfolios consistently shows that 40–60% of a well-built GLM book is mispriced by more than 10% — not because the GLM is poorly built, but because of three structural constraints that no amount of variable selection can fix.</w:t>
      </w:r>
    </w:p>
    <w:p>
      <w:pPr>
        <w:spacing w:before="0" w:after="120"/>
      </w:pPr>
    </w:p>
    <w:p>
      <w:pPr>
        <w:spacing w:before="0" w:after="120"/>
      </w:pPr>
      <w:r>
        <w:rPr>
          <w:rFonts w:ascii="Arial" w:cs="Arial" w:eastAsia="Arial" w:hAnsi="Arial"/>
          <w:b/>
          <w:bCs/>
          <w:color w:val="1B2A4A"/>
          <w:sz w:val="22"/>
          <w:szCs w:val="22"/>
        </w:rPr>
        <w:t xml:space="preserve">Pause. Let the number land. </w:t>
      </w:r>
      <w:r>
        <w:rPr>
          <w:rFonts w:ascii="Arial" w:cs="Arial" w:eastAsia="Arial" w:hAnsi="Arial"/>
          <w:color w:val="333333"/>
          <w:sz w:val="22"/>
          <w:szCs w:val="22"/>
        </w:rPr>
        <w:t xml:space="preserve">Then introduce the three constraints:</w:t>
      </w:r>
    </w:p>
    <w:p>
      <w:pPr>
        <w:pStyle w:val="ListParagraph"/>
        <w:numPr>
          <w:ilvl w:val="0"/>
          <w:numId w:val="2"/>
        </w:numPr>
        <w:spacing w:before="0" w:after="80"/>
      </w:pPr>
      <w:r>
        <w:rPr>
          <w:rFonts w:ascii="Arial" w:cs="Arial" w:eastAsia="Arial" w:hAnsi="Arial"/>
          <w:b/>
          <w:bCs/>
          <w:color w:val="1B2A4A"/>
          <w:sz w:val="22"/>
          <w:szCs w:val="22"/>
        </w:rPr>
        <w:t xml:space="preserve">Linearity: </w:t>
      </w:r>
      <w:r>
        <w:rPr>
          <w:rFonts w:ascii="Arial" w:cs="Arial" w:eastAsia="Arial" w:hAnsi="Arial"/>
          <w:color w:val="333333"/>
          <w:sz w:val="22"/>
          <w:szCs w:val="22"/>
        </w:rPr>
        <w:t xml:space="preserve">The log-link forces every feature to be linear in log-premium space. But wildfire risk is convex — it accelerates past index 30. Roof vulnerability is quadratic. Building code compliance has a threshold cliff at 60%. The GLM approximates all of these away.</w:t>
      </w:r>
    </w:p>
    <w:p>
      <w:pPr>
        <w:pStyle w:val="ListParagraph"/>
        <w:numPr>
          <w:ilvl w:val="0"/>
          <w:numId w:val="2"/>
        </w:numPr>
        <w:spacing w:before="0" w:after="80"/>
      </w:pPr>
      <w:r>
        <w:rPr>
          <w:rFonts w:ascii="Arial" w:cs="Arial" w:eastAsia="Arial" w:hAnsi="Arial"/>
          <w:b/>
          <w:bCs/>
          <w:color w:val="1B2A4A"/>
          <w:sz w:val="22"/>
          <w:szCs w:val="22"/>
        </w:rPr>
        <w:t xml:space="preserve">Additive structure: </w:t>
      </w:r>
      <w:r>
        <w:rPr>
          <w:rFonts w:ascii="Arial" w:cs="Arial" w:eastAsia="Arial" w:hAnsi="Arial"/>
          <w:color w:val="333333"/>
          <w:sz w:val="22"/>
          <w:szCs w:val="22"/>
        </w:rPr>
        <w:t xml:space="preserve">Rating factors multiply independently. But a 90th-percentile wildfire score on a home with a 35-year-old roof isn’t just the sum of two bad factors — it’s a compounding risk the GLM cannot represent.</w:t>
      </w:r>
    </w:p>
    <w:p>
      <w:pPr>
        <w:pStyle w:val="ListParagraph"/>
        <w:numPr>
          <w:ilvl w:val="0"/>
          <w:numId w:val="2"/>
        </w:numPr>
        <w:spacing w:before="0" w:after="80"/>
      </w:pPr>
      <w:r>
        <w:rPr>
          <w:rFonts w:ascii="Arial" w:cs="Arial" w:eastAsia="Arial" w:hAnsi="Arial"/>
          <w:b/>
          <w:bCs/>
          <w:color w:val="1B2A4A"/>
          <w:sz w:val="22"/>
          <w:szCs w:val="22"/>
        </w:rPr>
        <w:t xml:space="preserve">Static variables: </w:t>
      </w:r>
      <w:r>
        <w:rPr>
          <w:rFonts w:ascii="Arial" w:cs="Arial" w:eastAsia="Arial" w:hAnsi="Arial"/>
          <w:color w:val="333333"/>
          <w:sz w:val="22"/>
          <w:szCs w:val="22"/>
        </w:rPr>
        <w:t xml:space="preserve">Water loss recency, real-time wildfire exposure, satellite roof condition — these temporal and high-resolution signals either don’t enter the GLM at all, or enter as crude annual buckets that destroy the signal.</w:t>
      </w:r>
    </w:p>
    <w:p>
      <w:pPr>
        <w:spacing w:before="0" w:after="120"/>
      </w:pPr>
    </w:p>
    <w:p>
      <w:pPr>
        <w:pBdr>
          <w:left w:val="single" w:color="2EC4B6" w:sz="8"/>
        </w:pBdr>
        <w:spacing w:before="80" w:after="80"/>
        <w:ind w:left="360"/>
      </w:pPr>
      <w:r>
        <w:rPr>
          <w:rFonts w:ascii="Arial" w:cs="Arial" w:eastAsia="Arial" w:hAnsi="Arial"/>
          <w:b/>
          <w:bCs/>
          <w:color w:val="2EC4B6"/>
          <w:sz w:val="20"/>
          <w:szCs w:val="20"/>
        </w:rPr>
        <w:t xml:space="preserve">TALK TRACK: </w:t>
      </w:r>
      <w:r>
        <w:rPr>
          <w:rFonts w:ascii="Arial" w:cs="Arial" w:eastAsia="Arial" w:hAnsi="Arial"/>
          <w:i/>
          <w:iCs/>
          <w:color w:val="555555"/>
          <w:sz w:val="20"/>
          <w:szCs w:val="20"/>
        </w:rPr>
        <w:t xml:space="preserve">These aren’t hypothetical concerns. We’ll quantify them in the next screen. Let me show you what this looks like on a 100,000-policy synthetic homeowners book.</w:t>
      </w:r>
    </w:p>
    <w:p>
      <w:pPr>
        <w:spacing w:before="60" w:after="60"/>
      </w:pPr>
      <w:r>
        <w:rPr>
          <w:rFonts w:ascii="Arial" w:cs="Arial" w:eastAsia="Arial" w:hAnsi="Arial"/>
          <w:i/>
          <w:iCs/>
          <w:color w:val="8D9EAD"/>
          <w:sz w:val="20"/>
          <w:szCs w:val="20"/>
        </w:rPr>
        <w:t xml:space="preserve">[Open the demo. Navigate to Business Case tab.]</w:t>
      </w:r>
    </w:p>
    <w:p>
      <w:r>
        <w:br w:type="page"/>
      </w:r>
    </w:p>
    <w:p>
      <w:pPr>
        <w:pStyle w:val="Heading1"/>
        <w:spacing w:before="360" w:after="200"/>
      </w:pPr>
      <w:r>
        <w:t xml:space="preserve">3. Business Case Tab — Show Me the Money</w:t>
      </w:r>
    </w:p>
    <w:p>
      <w:pPr>
        <w:spacing w:before="40" w:after="80"/>
        <w:jc w:val="right"/>
      </w:pPr>
      <w:r>
        <w:rPr>
          <w:rFonts w:ascii="Arial" w:cs="Arial" w:eastAsia="Arial" w:hAnsi="Arial"/>
          <w:b/>
          <w:bCs/>
          <w:color w:val="8D9EAD"/>
          <w:sz w:val="18"/>
          <w:szCs w:val="18"/>
        </w:rPr>
        <w:t xml:space="preserve">⏱ 8 min</w:t>
      </w:r>
    </w:p>
    <w:p>
      <w:pPr>
        <w:pStyle w:val="Heading2"/>
        <w:spacing w:before="360" w:after="200"/>
      </w:pPr>
      <w:r>
        <w:t xml:space="preserve">3.1 The Hook: KPI Cards</w:t>
      </w:r>
    </w:p>
    <w:p>
      <w:pPr>
        <w:shd w:fill="F0F4FA" w:val="clear"/>
        <w:spacing w:before="40" w:after="40"/>
        <w:ind w:left="240" w:right="240"/>
      </w:pPr>
      <w:r>
        <w:rPr>
          <w:rFonts w:ascii="Arial" w:cs="Arial" w:eastAsia="Arial" w:hAnsi="Arial"/>
          <w:b/>
          <w:bCs/>
          <w:color w:val="1B2A4A"/>
          <w:sz w:val="18"/>
          <w:szCs w:val="18"/>
        </w:rPr>
        <w:t xml:space="preserve">VISUAL: </w:t>
      </w:r>
      <w:r>
        <w:rPr>
          <w:rFonts w:ascii="Arial" w:cs="Arial" w:eastAsia="Arial" w:hAnsi="Arial"/>
          <w:color w:val="1B2A4A"/>
          <w:sz w:val="18"/>
          <w:szCs w:val="18"/>
        </w:rPr>
        <w:t xml:space="preserve">Business Case Tab → KPI Row — 5 cards at top</w:t>
      </w:r>
    </w:p>
    <w:p>
      <w:pPr>
        <w:pBdr>
          <w:left w:val="single" w:color="2EC4B6" w:sz="8"/>
        </w:pBdr>
        <w:spacing w:before="80" w:after="80"/>
        <w:ind w:left="360"/>
      </w:pPr>
      <w:r>
        <w:rPr>
          <w:rFonts w:ascii="Arial" w:cs="Arial" w:eastAsia="Arial" w:hAnsi="Arial"/>
          <w:b/>
          <w:bCs/>
          <w:color w:val="2EC4B6"/>
          <w:sz w:val="20"/>
          <w:szCs w:val="20"/>
        </w:rPr>
        <w:t xml:space="preserve">TALK TRACK: </w:t>
      </w:r>
      <w:r>
        <w:rPr>
          <w:rFonts w:ascii="Arial" w:cs="Arial" w:eastAsia="Arial" w:hAnsi="Arial"/>
          <w:i/>
          <w:iCs/>
          <w:color w:val="555555"/>
          <w:sz w:val="20"/>
          <w:szCs w:val="20"/>
        </w:rPr>
        <w:t xml:space="preserve">Before we go into charts, look at these five numbers. They tell the entire story in one row.</w:t>
      </w:r>
    </w:p>
    <w:p>
      <w:pPr>
        <w:spacing w:before="0" w:after="120"/>
      </w:pPr>
    </w:p>
    <w:p>
      <w:pPr>
        <w:spacing w:before="0" w:after="120"/>
      </w:pPr>
      <w:r>
        <w:rPr>
          <w:rFonts w:ascii="Arial" w:cs="Arial" w:eastAsia="Arial" w:hAnsi="Arial"/>
          <w:b/>
          <w:bCs/>
          <w:color w:val="1B2A4A"/>
          <w:sz w:val="22"/>
          <w:szCs w:val="22"/>
        </w:rPr>
        <w:t xml:space="preserve">Card 1 — $16.0M Premium at Risk (LEAKAGE). </w:t>
      </w:r>
      <w:r>
        <w:rPr>
          <w:rFonts w:ascii="Arial" w:cs="Arial" w:eastAsia="Arial" w:hAnsi="Arial"/>
          <w:color w:val="333333"/>
          <w:sz w:val="22"/>
          <w:szCs w:val="22"/>
        </w:rPr>
        <w:t xml:space="preserve">This is the total dollar value of surcharges the intelligence layer identifies — policies where your current GLM is undercharging relative to expected loss. These are the risks where adverse selection concentrates: competitors see the same data you do, they know these risks are underpriced, and they’re not competing for them.</w:t>
      </w:r>
    </w:p>
    <w:p>
      <w:pPr>
        <w:spacing w:before="0" w:after="120"/>
      </w:pPr>
      <w:r>
        <w:rPr>
          <w:rFonts w:ascii="Arial" w:cs="Arial" w:eastAsia="Arial" w:hAnsi="Arial"/>
          <w:b/>
          <w:bCs/>
          <w:color w:val="1B2A4A"/>
          <w:sz w:val="22"/>
          <w:szCs w:val="22"/>
        </w:rPr>
        <w:t xml:space="preserve">Card 2 — $16.0M Growth Opportunity (GROWTH). </w:t>
      </w:r>
      <w:r>
        <w:rPr>
          <w:rFonts w:ascii="Arial" w:cs="Arial" w:eastAsia="Arial" w:hAnsi="Arial"/>
          <w:color w:val="333333"/>
          <w:sz w:val="22"/>
          <w:szCs w:val="22"/>
        </w:rPr>
        <w:t xml:space="preserve">The mirror image. These are policies your GLM overcharges. Competitors with better pricing will cream-skim these — they’ll quote lower, win the business, and leave you with the adversely selected residual.</w:t>
      </w:r>
    </w:p>
    <w:p>
      <w:pPr>
        <w:spacing w:before="0" w:after="120"/>
      </w:pPr>
      <w:r>
        <w:rPr>
          <w:rFonts w:ascii="Arial" w:cs="Arial" w:eastAsia="Arial" w:hAnsi="Arial"/>
          <w:b/>
          <w:bCs/>
          <w:color w:val="1B2A4A"/>
          <w:sz w:val="22"/>
          <w:szCs w:val="22"/>
        </w:rPr>
        <w:t xml:space="preserve">Card 3 — +0.139 Variance Lift ΔR² (KEY LIFT). </w:t>
      </w:r>
      <w:r>
        <w:rPr>
          <w:rFonts w:ascii="Arial" w:cs="Arial" w:eastAsia="Arial" w:hAnsi="Arial"/>
          <w:color w:val="333333"/>
          <w:sz w:val="22"/>
          <w:szCs w:val="22"/>
        </w:rPr>
        <w:t xml:space="preserve">The intelligence layer recovers 14 additional points of explained variance. That’s 41% of the GLM’s structurally unexplained residual.</w:t>
      </w:r>
    </w:p>
    <w:p>
      <w:pPr>
        <w:spacing w:before="0" w:after="120"/>
      </w:pPr>
      <w:r>
        <w:rPr>
          <w:rFonts w:ascii="Arial" w:cs="Arial" w:eastAsia="Arial" w:hAnsi="Arial"/>
          <w:b/>
          <w:bCs/>
          <w:color w:val="1B2A4A"/>
          <w:sz w:val="22"/>
          <w:szCs w:val="22"/>
        </w:rPr>
        <w:t xml:space="preserve">Card 4 — 17.3% Adverse Selection (RISK). </w:t>
      </w:r>
      <w:r>
        <w:rPr>
          <w:rFonts w:ascii="Arial" w:cs="Arial" w:eastAsia="Arial" w:hAnsi="Arial"/>
          <w:color w:val="333333"/>
          <w:sz w:val="22"/>
          <w:szCs w:val="22"/>
        </w:rPr>
        <w:t xml:space="preserve">One in six policies is underpriced by more than 20%. Average leakage on those policies: $1,173 each.</w:t>
      </w:r>
    </w:p>
    <w:p>
      <w:pPr>
        <w:spacing w:before="0" w:after="120"/>
      </w:pPr>
      <w:r>
        <w:rPr>
          <w:rFonts w:ascii="Arial" w:cs="Arial" w:eastAsia="Arial" w:hAnsi="Arial"/>
          <w:b/>
          <w:bCs/>
          <w:color w:val="1B2A4A"/>
          <w:sz w:val="22"/>
          <w:szCs w:val="22"/>
        </w:rPr>
        <w:t xml:space="preserve">Card 5 — +0.00% Book Premium Impact (NEUTRAL). </w:t>
      </w:r>
      <w:r>
        <w:rPr>
          <w:rFonts w:ascii="Arial" w:cs="Arial" w:eastAsia="Arial" w:hAnsi="Arial"/>
          <w:color w:val="333333"/>
          <w:sz w:val="22"/>
          <w:szCs w:val="22"/>
        </w:rPr>
        <w:t xml:space="preserve">This is the constraint that makes the layer deployable: total book premium doesn’t change. E_w[uplift] = 1.0000. This is pure redistribution, not a rate increase.</w:t>
      </w:r>
    </w:p>
    <w:p>
      <w:pPr>
        <w:pBdr>
          <w:left w:val="single" w:color="D4A843" w:sz="8"/>
        </w:pBdr>
        <w:shd w:fill="FFF8EF" w:val="clear"/>
        <w:spacing w:before="80" w:after="80"/>
        <w:ind w:left="240" w:right="240"/>
      </w:pPr>
      <w:r>
        <w:rPr>
          <w:rFonts w:ascii="Arial" w:cs="Arial" w:eastAsia="Arial" w:hAnsi="Arial"/>
          <w:b/>
          <w:bCs/>
          <w:color w:val="D4A843"/>
          <w:sz w:val="20"/>
          <w:szCs w:val="20"/>
        </w:rPr>
        <w:t xml:space="preserve">KEY MESSAGE: </w:t>
      </w:r>
      <w:r>
        <w:rPr>
          <w:rFonts w:ascii="Arial" w:cs="Arial" w:eastAsia="Arial" w:hAnsi="Arial"/>
          <w:color w:val="444444"/>
          <w:sz w:val="20"/>
          <w:szCs w:val="20"/>
        </w:rPr>
        <w:t xml:space="preserve">The intelligence layer moves $32M across the book — $16M in surcharges, $16M in credits — while leaving total book premium exactly unchanged. This is redistribution, not inflation.</w:t>
      </w:r>
    </w:p>
    <w:p>
      <w:pPr>
        <w:pStyle w:val="Heading2"/>
        <w:spacing w:before="360" w:after="200"/>
      </w:pPr>
      <w:r>
        <w:t xml:space="preserve">3.2 Where the Money Moves</w:t>
      </w:r>
    </w:p>
    <w:p>
      <w:pPr>
        <w:shd w:fill="F0F4FA" w:val="clear"/>
        <w:spacing w:before="40" w:after="40"/>
        <w:ind w:left="240" w:right="240"/>
      </w:pPr>
      <w:r>
        <w:rPr>
          <w:rFonts w:ascii="Arial" w:cs="Arial" w:eastAsia="Arial" w:hAnsi="Arial"/>
          <w:b/>
          <w:bCs/>
          <w:color w:val="1B2A4A"/>
          <w:sz w:val="18"/>
          <w:szCs w:val="18"/>
        </w:rPr>
        <w:t xml:space="preserve">VISUAL: </w:t>
      </w:r>
      <w:r>
        <w:rPr>
          <w:rFonts w:ascii="Arial" w:cs="Arial" w:eastAsia="Arial" w:hAnsi="Arial"/>
          <w:color w:val="1B2A4A"/>
          <w:sz w:val="18"/>
          <w:szCs w:val="18"/>
        </w:rPr>
        <w:t xml:space="preserve">Business Case Tab → Premium Flow bar + Adjustment Distribution histogram</w:t>
      </w:r>
    </w:p>
    <w:p>
      <w:pPr>
        <w:pBdr>
          <w:left w:val="single" w:color="2EC4B6" w:sz="8"/>
        </w:pBdr>
        <w:spacing w:before="80" w:after="80"/>
        <w:ind w:left="360"/>
      </w:pPr>
      <w:r>
        <w:rPr>
          <w:rFonts w:ascii="Arial" w:cs="Arial" w:eastAsia="Arial" w:hAnsi="Arial"/>
          <w:b/>
          <w:bCs/>
          <w:color w:val="2EC4B6"/>
          <w:sz w:val="20"/>
          <w:szCs w:val="20"/>
        </w:rPr>
        <w:t xml:space="preserve">TALK TRACK: </w:t>
      </w:r>
      <w:r>
        <w:rPr>
          <w:rFonts w:ascii="Arial" w:cs="Arial" w:eastAsia="Arial" w:hAnsi="Arial"/>
          <w:i/>
          <w:iCs/>
          <w:color w:val="555555"/>
          <w:sz w:val="20"/>
          <w:szCs w:val="20"/>
        </w:rPr>
        <w:t xml:space="preserve">The left chart shows the aggregate flow: $16M of needed surcharges across 42,000 underpriced policies, offset by $16M in credits across 58,000 overpriced ones. Net equals zero. The right chart shows the per-policy distribution — adjustments range from about –35% to +60%, centered at zero. Notice the asymmetry: 34% of the book gets credits exceeding 10%, while 24% gets surcharges exceeding 10%. That left tail? Those are your growth opportunities — policies you’re overcharging where competitors will undercut you. The right tail is where adverse selection lives.</w:t>
      </w:r>
    </w:p>
    <w:p>
      <w:pPr>
        <w:pStyle w:val="Heading2"/>
        <w:spacing w:before="360" w:after="200"/>
      </w:pPr>
      <w:r>
        <w:t xml:space="preserve">3.3 Systematic Mispricing by Risk Segment</w:t>
      </w:r>
    </w:p>
    <w:p>
      <w:pPr>
        <w:shd w:fill="F0F4FA" w:val="clear"/>
        <w:spacing w:before="40" w:after="40"/>
        <w:ind w:left="240" w:right="240"/>
      </w:pPr>
      <w:r>
        <w:rPr>
          <w:rFonts w:ascii="Arial" w:cs="Arial" w:eastAsia="Arial" w:hAnsi="Arial"/>
          <w:b/>
          <w:bCs/>
          <w:color w:val="1B2A4A"/>
          <w:sz w:val="18"/>
          <w:szCs w:val="18"/>
        </w:rPr>
        <w:t xml:space="preserve">VISUAL: </w:t>
      </w:r>
      <w:r>
        <w:rPr>
          <w:rFonts w:ascii="Arial" w:cs="Arial" w:eastAsia="Arial" w:hAnsi="Arial"/>
          <w:color w:val="1B2A4A"/>
          <w:sz w:val="18"/>
          <w:szCs w:val="18"/>
        </w:rPr>
        <w:t xml:space="preserve">Business Case Tab → Signed Pricing Error by Quintile — full-width grouped bar</w:t>
      </w:r>
    </w:p>
    <w:p>
      <w:pPr>
        <w:spacing w:before="0" w:after="120"/>
      </w:pPr>
      <w:r>
        <w:rPr>
          <w:rFonts w:ascii="Arial" w:cs="Arial" w:eastAsia="Arial" w:hAnsi="Arial"/>
          <w:b/>
          <w:bCs/>
          <w:color w:val="1B2A4A"/>
          <w:sz w:val="22"/>
          <w:szCs w:val="22"/>
        </w:rPr>
        <w:t xml:space="preserve">This is the single most important chart in the demo. </w:t>
      </w:r>
      <w:r>
        <w:rPr>
          <w:rFonts w:ascii="Arial" w:cs="Arial" w:eastAsia="Arial" w:hAnsi="Arial"/>
          <w:color w:val="333333"/>
          <w:sz w:val="22"/>
          <w:szCs w:val="22"/>
        </w:rPr>
        <w:t xml:space="preserve">Pause here and let the audience absorb it.</w:t>
      </w:r>
    </w:p>
    <w:p>
      <w:pPr>
        <w:spacing w:before="0" w:after="120"/>
      </w:pPr>
    </w:p>
    <w:p>
      <w:pPr>
        <w:pBdr>
          <w:left w:val="single" w:color="2EC4B6" w:sz="8"/>
        </w:pBdr>
        <w:spacing w:before="80" w:after="80"/>
        <w:ind w:left="360"/>
      </w:pPr>
      <w:r>
        <w:rPr>
          <w:rFonts w:ascii="Arial" w:cs="Arial" w:eastAsia="Arial" w:hAnsi="Arial"/>
          <w:b/>
          <w:bCs/>
          <w:color w:val="2EC4B6"/>
          <w:sz w:val="20"/>
          <w:szCs w:val="20"/>
        </w:rPr>
        <w:t xml:space="preserve">TALK TRACK: </w:t>
      </w:r>
      <w:r>
        <w:rPr>
          <w:rFonts w:ascii="Arial" w:cs="Arial" w:eastAsia="Arial" w:hAnsi="Arial"/>
          <w:i/>
          <w:iCs/>
          <w:color w:val="555555"/>
          <w:sz w:val="20"/>
          <w:szCs w:val="20"/>
        </w:rPr>
        <w:t xml:space="preserve">This chart answers the question: where in the book does the GLM misprice, and in which direction? We’ve sorted all policies into five risk quintiles by GLM premium — Q1 is your lowest-risk segment, Q5 is your highest. The green transparent bars are the GLM’s signed error. Positive means the GLM overprices. Negative means it underprices. Look at the pattern: the GLM systematically overprices every segment — but the degree varies. Now look at the navy bars — that’s after the intelligence layer. They compress toward the zero line across every quintile. That compression is what converts to loss ratio improvement.</w:t>
      </w:r>
    </w:p>
    <w:p>
      <w:pPr>
        <w:pBdr>
          <w:left w:val="single" w:color="D4A843" w:sz="8"/>
        </w:pBdr>
        <w:shd w:fill="FFF8EF" w:val="clear"/>
        <w:spacing w:before="80" w:after="80"/>
        <w:ind w:left="240" w:right="240"/>
      </w:pPr>
      <w:r>
        <w:rPr>
          <w:rFonts w:ascii="Arial" w:cs="Arial" w:eastAsia="Arial" w:hAnsi="Arial"/>
          <w:b/>
          <w:bCs/>
          <w:color w:val="D4A843"/>
          <w:sz w:val="20"/>
          <w:szCs w:val="20"/>
        </w:rPr>
        <w:t xml:space="preserve">KEY MESSAGE: </w:t>
      </w:r>
      <w:r>
        <w:rPr>
          <w:rFonts w:ascii="Arial" w:cs="Arial" w:eastAsia="Arial" w:hAnsi="Arial"/>
          <w:color w:val="444444"/>
          <w:sz w:val="20"/>
          <w:szCs w:val="20"/>
        </w:rPr>
        <w:t xml:space="preserve">The GLM’s systematic overpricing pattern creates competitive exposure across the entire book. The intelligence layer flattens the error curve toward zero in every risk segment.</w:t>
      </w:r>
    </w:p>
    <w:p>
      <w:pPr>
        <w:pStyle w:val="Heading2"/>
        <w:spacing w:before="360" w:after="200"/>
      </w:pPr>
      <w:r>
        <w:t xml:space="preserve">3.4 Adverse Selection Evidence</w:t>
      </w:r>
    </w:p>
    <w:p>
      <w:pPr>
        <w:shd w:fill="F0F4FA" w:val="clear"/>
        <w:spacing w:before="40" w:after="40"/>
        <w:ind w:left="240" w:right="240"/>
      </w:pPr>
      <w:r>
        <w:rPr>
          <w:rFonts w:ascii="Arial" w:cs="Arial" w:eastAsia="Arial" w:hAnsi="Arial"/>
          <w:b/>
          <w:bCs/>
          <w:color w:val="1B2A4A"/>
          <w:sz w:val="18"/>
          <w:szCs w:val="18"/>
        </w:rPr>
        <w:t xml:space="preserve">VISUAL: </w:t>
      </w:r>
      <w:r>
        <w:rPr>
          <w:rFonts w:ascii="Arial" w:cs="Arial" w:eastAsia="Arial" w:hAnsi="Arial"/>
          <w:color w:val="1B2A4A"/>
          <w:sz w:val="18"/>
          <w:szCs w:val="18"/>
        </w:rPr>
        <w:t xml:space="preserve">Business Case Tab → Adverse Selection Scatter (side-by-side) + Reclassification Scatter + Matrix</w:t>
      </w:r>
    </w:p>
    <w:p>
      <w:pPr>
        <w:pBdr>
          <w:left w:val="single" w:color="2EC4B6" w:sz="8"/>
        </w:pBdr>
        <w:spacing w:before="80" w:after="80"/>
        <w:ind w:left="360"/>
      </w:pPr>
      <w:r>
        <w:rPr>
          <w:rFonts w:ascii="Arial" w:cs="Arial" w:eastAsia="Arial" w:hAnsi="Arial"/>
          <w:b/>
          <w:bCs/>
          <w:color w:val="2EC4B6"/>
          <w:sz w:val="20"/>
          <w:szCs w:val="20"/>
        </w:rPr>
        <w:t xml:space="preserve">TALK TRACK: </w:t>
      </w:r>
      <w:r>
        <w:rPr>
          <w:rFonts w:ascii="Arial" w:cs="Arial" w:eastAsia="Arial" w:hAnsi="Arial"/>
          <w:i/>
          <w:iCs/>
          <w:color w:val="555555"/>
          <w:sz w:val="20"/>
          <w:szCs w:val="20"/>
        </w:rPr>
        <w:t xml:space="preserve">Bottom row, three views of the same story. Left: every dot is a test-set policy plotted against its true expected loss. In the GLM panel, red dots below the diagonal are underpriced — the cloud is wide and colorful. In the Intelligence-Adjusted panel, the cloud tightens and shifts grey. Mean absolute error drops from 28.5% to 22.2% — a 6.3 percentage-point improvement. Center: the reclassification scatter shows exactly who moves. Points above the diagonal are surcharges — hidden dangers the GLM missed. Points below are credits — hidden gems the GLM overcharged. Right: the 4×4 matrix shows that 22% of the portfolio crosses tier boundaries. Read row-wise: of your current GLM Low-risk tier, 13% actually belong in Moderate after intelligence adjustment.</w:t>
      </w:r>
    </w:p>
    <w:p>
      <w:r>
        <w:br w:type="page"/>
      </w:r>
    </w:p>
    <w:p>
      <w:pPr>
        <w:pStyle w:val="Heading1"/>
        <w:spacing w:before="360" w:after="200"/>
      </w:pPr>
      <w:r>
        <w:t xml:space="preserve">4. Intelligence Signals Tab — The Science</w:t>
      </w:r>
    </w:p>
    <w:p>
      <w:pPr>
        <w:spacing w:before="40" w:after="80"/>
        <w:jc w:val="right"/>
      </w:pPr>
      <w:r>
        <w:rPr>
          <w:rFonts w:ascii="Arial" w:cs="Arial" w:eastAsia="Arial" w:hAnsi="Arial"/>
          <w:b/>
          <w:bCs/>
          <w:color w:val="8D9EAD"/>
          <w:sz w:val="18"/>
          <w:szCs w:val="18"/>
        </w:rPr>
        <w:t xml:space="preserve">⏱ 8 min</w:t>
      </w:r>
    </w:p>
    <w:p>
      <w:pPr>
        <w:spacing w:before="60" w:after="60"/>
      </w:pPr>
      <w:r>
        <w:rPr>
          <w:rFonts w:ascii="Arial" w:cs="Arial" w:eastAsia="Arial" w:hAnsi="Arial"/>
          <w:i/>
          <w:iCs/>
          <w:color w:val="8D9EAD"/>
          <w:sz w:val="20"/>
          <w:szCs w:val="20"/>
        </w:rPr>
        <w:t xml:space="preserve">[Navigate to Intelligence Signals tab.]</w:t>
      </w:r>
    </w:p>
    <w:p>
      <w:pPr>
        <w:pStyle w:val="Heading2"/>
        <w:spacing w:before="360" w:after="200"/>
      </w:pPr>
      <w:r>
        <w:t xml:space="preserve">4.1 Three-Layer Data Characteristics — The “Aha” Moment</w:t>
      </w:r>
    </w:p>
    <w:p>
      <w:pPr>
        <w:shd w:fill="F0F4FA" w:val="clear"/>
        <w:spacing w:before="40" w:after="40"/>
        <w:ind w:left="240" w:right="240"/>
      </w:pPr>
      <w:r>
        <w:rPr>
          <w:rFonts w:ascii="Arial" w:cs="Arial" w:eastAsia="Arial" w:hAnsi="Arial"/>
          <w:b/>
          <w:bCs/>
          <w:color w:val="1B2A4A"/>
          <w:sz w:val="18"/>
          <w:szCs w:val="18"/>
        </w:rPr>
        <w:t xml:space="preserve">VISUAL: </w:t>
      </w:r>
      <w:r>
        <w:rPr>
          <w:rFonts w:ascii="Arial" w:cs="Arial" w:eastAsia="Arial" w:hAnsi="Arial"/>
          <w:color w:val="1B2A4A"/>
          <w:sz w:val="18"/>
          <w:szCs w:val="18"/>
        </w:rPr>
        <w:t xml:space="preserve">Intelligence Signals Tab → 2×2 panel: Wildfire, Roof Vulnerability, Building Code, Credit Score</w:t>
      </w:r>
    </w:p>
    <w:p>
      <w:pPr>
        <w:spacing w:before="0" w:after="120"/>
      </w:pPr>
      <w:r>
        <w:rPr>
          <w:rFonts w:ascii="Arial" w:cs="Arial" w:eastAsia="Arial" w:hAnsi="Arial"/>
          <w:b/>
          <w:bCs/>
          <w:color w:val="1B2A4A"/>
          <w:sz w:val="22"/>
          <w:szCs w:val="22"/>
        </w:rPr>
        <w:t xml:space="preserve">This is where actuaries and data scientists lean forward. </w:t>
      </w:r>
      <w:r>
        <w:rPr>
          <w:rFonts w:ascii="Arial" w:cs="Arial" w:eastAsia="Arial" w:hAnsi="Arial"/>
          <w:color w:val="333333"/>
          <w:sz w:val="22"/>
          <w:szCs w:val="22"/>
        </w:rPr>
        <w:t xml:space="preserve">Each chart overlays three layers of evidence:</w:t>
      </w:r>
    </w:p>
    <w:p>
      <w:pPr>
        <w:pStyle w:val="ListParagraph"/>
        <w:numPr>
          <w:ilvl w:val="0"/>
          <w:numId w:val="2"/>
        </w:numPr>
        <w:spacing w:before="0" w:after="80"/>
      </w:pPr>
      <w:r>
        <w:rPr>
          <w:rFonts w:ascii="Arial" w:cs="Arial" w:eastAsia="Arial" w:hAnsi="Arial"/>
          <w:b/>
          <w:bCs/>
          <w:color w:val="1B2A4A"/>
          <w:sz w:val="22"/>
          <w:szCs w:val="22"/>
        </w:rPr>
        <w:t xml:space="preserve">Dark dots: </w:t>
      </w:r>
      <w:r>
        <w:rPr>
          <w:rFonts w:ascii="Arial" w:cs="Arial" w:eastAsia="Arial" w:hAnsi="Arial"/>
          <w:color w:val="333333"/>
          <w:sz w:val="22"/>
          <w:szCs w:val="22"/>
        </w:rPr>
        <w:t xml:space="preserve">Empirical loss ratio by feature bin — what the data actually shows.</w:t>
      </w:r>
    </w:p>
    <w:p>
      <w:pPr>
        <w:pStyle w:val="ListParagraph"/>
        <w:numPr>
          <w:ilvl w:val="0"/>
          <w:numId w:val="2"/>
        </w:numPr>
        <w:spacing w:before="0" w:after="80"/>
      </w:pPr>
      <w:r>
        <w:rPr>
          <w:rFonts w:ascii="Arial" w:cs="Arial" w:eastAsia="Arial" w:hAnsi="Arial"/>
          <w:b/>
          <w:bCs/>
          <w:color w:val="1B2A4A"/>
          <w:sz w:val="22"/>
          <w:szCs w:val="22"/>
        </w:rPr>
        <w:t xml:space="preserve">Dashed line at 0%: </w:t>
      </w:r>
      <w:r>
        <w:rPr>
          <w:rFonts w:ascii="Arial" w:cs="Arial" w:eastAsia="Arial" w:hAnsi="Arial"/>
          <w:color w:val="333333"/>
          <w:sz w:val="22"/>
          <w:szCs w:val="22"/>
        </w:rPr>
        <w:t xml:space="preserve">The GLM’s structural assumption — it treats all effects as linear in log-premium space.</w:t>
      </w:r>
    </w:p>
    <w:p>
      <w:pPr>
        <w:pStyle w:val="ListParagraph"/>
        <w:numPr>
          <w:ilvl w:val="0"/>
          <w:numId w:val="2"/>
        </w:numPr>
        <w:spacing w:before="0" w:after="80"/>
      </w:pPr>
      <w:r>
        <w:rPr>
          <w:rFonts w:ascii="Arial" w:cs="Arial" w:eastAsia="Arial" w:hAnsi="Arial"/>
          <w:b/>
          <w:bCs/>
          <w:color w:val="1B2A4A"/>
          <w:sz w:val="22"/>
          <w:szCs w:val="22"/>
        </w:rPr>
        <w:t xml:space="preserve">Teal curve: </w:t>
      </w:r>
      <w:r>
        <w:rPr>
          <w:rFonts w:ascii="Arial" w:cs="Arial" w:eastAsia="Arial" w:hAnsi="Arial"/>
          <w:color w:val="333333"/>
          <w:sz w:val="22"/>
          <w:szCs w:val="22"/>
        </w:rPr>
        <w:t xml:space="preserve">The GA2M’s learned shape function — what the glass-box model recovers.</w:t>
      </w:r>
    </w:p>
    <w:p>
      <w:pPr>
        <w:spacing w:before="0" w:after="120"/>
      </w:pPr>
    </w:p>
    <w:p>
      <w:pPr>
        <w:pBdr>
          <w:left w:val="single" w:color="2EC4B6" w:sz="8"/>
        </w:pBdr>
        <w:spacing w:before="80" w:after="80"/>
        <w:ind w:left="360"/>
      </w:pPr>
      <w:r>
        <w:rPr>
          <w:rFonts w:ascii="Arial" w:cs="Arial" w:eastAsia="Arial" w:hAnsi="Arial"/>
          <w:b/>
          <w:bCs/>
          <w:color w:val="2EC4B6"/>
          <w:sz w:val="20"/>
          <w:szCs w:val="20"/>
        </w:rPr>
        <w:t xml:space="preserve">TALK TRACK: </w:t>
      </w:r>
      <w:r>
        <w:rPr>
          <w:rFonts w:ascii="Arial" w:cs="Arial" w:eastAsia="Arial" w:hAnsi="Arial"/>
          <w:i/>
          <w:iCs/>
          <w:color w:val="555555"/>
          <w:sz w:val="20"/>
          <w:szCs w:val="20"/>
        </w:rPr>
        <w:t xml:space="preserve">Walk through each panel deliberately:</w:t>
      </w:r>
    </w:p>
    <w:p>
      <w:pPr>
        <w:spacing w:before="0" w:after="120"/>
      </w:pPr>
      <w:r>
        <w:rPr>
          <w:rFonts w:ascii="Arial" w:cs="Arial" w:eastAsia="Arial" w:hAnsi="Arial"/>
          <w:b/>
          <w:bCs/>
          <w:color w:val="1B2A4A"/>
          <w:sz w:val="22"/>
          <w:szCs w:val="22"/>
        </w:rPr>
        <w:t xml:space="preserve">Wildfire Exposure (top left): </w:t>
      </w:r>
      <w:r>
        <w:rPr>
          <w:rFonts w:ascii="Arial" w:cs="Arial" w:eastAsia="Arial" w:hAnsi="Arial"/>
          <w:color w:val="333333"/>
          <w:sz w:val="22"/>
          <w:szCs w:val="22"/>
        </w:rPr>
        <w:t xml:space="preserve">Below index 30, risk is essentially flat — the GLM handles this fine. Past 30, risk accelerates convexly. By index 80, the GLM underprices wildfire risk by 160%. That’s not a 10% error — that’s a factor of 2.6×.</w:t>
      </w:r>
    </w:p>
    <w:p>
      <w:pPr>
        <w:spacing w:before="0" w:after="120"/>
      </w:pPr>
      <w:r>
        <w:rPr>
          <w:rFonts w:ascii="Arial" w:cs="Arial" w:eastAsia="Arial" w:hAnsi="Arial"/>
          <w:b/>
          <w:bCs/>
          <w:color w:val="1B2A4A"/>
          <w:sz w:val="22"/>
          <w:szCs w:val="22"/>
        </w:rPr>
        <w:t xml:space="preserve">Roof Vulnerability (top right): </w:t>
      </w:r>
      <w:r>
        <w:rPr>
          <w:rFonts w:ascii="Arial" w:cs="Arial" w:eastAsia="Arial" w:hAnsi="Arial"/>
          <w:color w:val="333333"/>
          <w:sz w:val="22"/>
          <w:szCs w:val="22"/>
        </w:rPr>
        <w:t xml:space="preserve">Quadratic. Penalty doubles past score 20. The GLM’s linear approximation catches the average slope but misses the curvature — resulting in overpricing good roofs and underpricing bad ones by up to 44%.</w:t>
      </w:r>
    </w:p>
    <w:p>
      <w:pPr>
        <w:spacing w:before="0" w:after="120"/>
      </w:pPr>
      <w:r>
        <w:rPr>
          <w:rFonts w:ascii="Arial" w:cs="Arial" w:eastAsia="Arial" w:hAnsi="Arial"/>
          <w:b/>
          <w:bCs/>
          <w:color w:val="1B2A4A"/>
          <w:sz w:val="22"/>
          <w:szCs w:val="22"/>
        </w:rPr>
        <w:t xml:space="preserve">Building Code Compliance (bottom left): </w:t>
      </w:r>
      <w:r>
        <w:rPr>
          <w:rFonts w:ascii="Arial" w:cs="Arial" w:eastAsia="Arial" w:hAnsi="Arial"/>
          <w:color w:val="333333"/>
          <w:sz w:val="22"/>
          <w:szCs w:val="22"/>
        </w:rPr>
        <w:t xml:space="preserve">Threshold effect. Below 60% compliance, frequency jumps sharply. Above 60%, it’s essentially flat. The GLM draws a gentle slope through both regions and gets neither right.</w:t>
      </w:r>
    </w:p>
    <w:p>
      <w:pPr>
        <w:spacing w:before="0" w:after="120"/>
      </w:pPr>
      <w:r>
        <w:rPr>
          <w:rFonts w:ascii="Arial" w:cs="Arial" w:eastAsia="Arial" w:hAnsi="Arial"/>
          <w:b/>
          <w:bCs/>
          <w:color w:val="1B2A4A"/>
          <w:sz w:val="22"/>
          <w:szCs w:val="22"/>
        </w:rPr>
        <w:t xml:space="preserve">Credit Score (bottom right): </w:t>
      </w:r>
      <w:r>
        <w:rPr>
          <w:rFonts w:ascii="Arial" w:cs="Arial" w:eastAsia="Arial" w:hAnsi="Arial"/>
          <w:color w:val="333333"/>
          <w:sz w:val="22"/>
          <w:szCs w:val="22"/>
        </w:rPr>
        <w:t xml:space="preserve">Diminishing returns. The GLM over-linearizes, giving too much credit improvement in the 600–750 range and not enough penalty below 500. Note: CA and MA policies suppress credit score at portfolio median 700 for regulatory compliance.</w:t>
      </w:r>
    </w:p>
    <w:p>
      <w:pPr>
        <w:pBdr>
          <w:left w:val="single" w:color="D4A843" w:sz="8"/>
        </w:pBdr>
        <w:shd w:fill="FFF8EF" w:val="clear"/>
        <w:spacing w:before="80" w:after="80"/>
        <w:ind w:left="240" w:right="240"/>
      </w:pPr>
      <w:r>
        <w:rPr>
          <w:rFonts w:ascii="Arial" w:cs="Arial" w:eastAsia="Arial" w:hAnsi="Arial"/>
          <w:b/>
          <w:bCs/>
          <w:color w:val="D4A843"/>
          <w:sz w:val="20"/>
          <w:szCs w:val="20"/>
        </w:rPr>
        <w:t xml:space="preserve">KEY MESSAGE: </w:t>
      </w:r>
      <w:r>
        <w:rPr>
          <w:rFonts w:ascii="Arial" w:cs="Arial" w:eastAsia="Arial" w:hAnsi="Arial"/>
          <w:color w:val="444444"/>
          <w:sz w:val="20"/>
          <w:szCs w:val="20"/>
        </w:rPr>
        <w:t xml:space="preserve">These aren’t model artifacts — the empirical dots independently confirm every curve. The gap between the dashed line and the teal curve is structural premium leakage that exists regardless of how well the GLM is built.</w:t>
      </w:r>
    </w:p>
    <w:p>
      <w:pPr>
        <w:pStyle w:val="Heading2"/>
        <w:spacing w:before="360" w:after="200"/>
      </w:pPr>
      <w:r>
        <w:t xml:space="preserve">4.2 Signal Landscape &amp; Geographic Intelligence</w:t>
      </w:r>
    </w:p>
    <w:p>
      <w:pPr>
        <w:shd w:fill="F0F4FA" w:val="clear"/>
        <w:spacing w:before="40" w:after="40"/>
        <w:ind w:left="240" w:right="240"/>
      </w:pPr>
      <w:r>
        <w:rPr>
          <w:rFonts w:ascii="Arial" w:cs="Arial" w:eastAsia="Arial" w:hAnsi="Arial"/>
          <w:b/>
          <w:bCs/>
          <w:color w:val="1B2A4A"/>
          <w:sz w:val="18"/>
          <w:szCs w:val="18"/>
        </w:rPr>
        <w:t xml:space="preserve">VISUAL: </w:t>
      </w:r>
      <w:r>
        <w:rPr>
          <w:rFonts w:ascii="Arial" w:cs="Arial" w:eastAsia="Arial" w:hAnsi="Arial"/>
          <w:color w:val="1B2A4A"/>
          <w:sz w:val="18"/>
          <w:szCs w:val="18"/>
        </w:rPr>
        <w:t xml:space="preserve">Intelligence Signals Tab → Signal Landscape bar (left) + State Adjustment bar (right)</w:t>
      </w:r>
    </w:p>
    <w:p>
      <w:pPr>
        <w:pBdr>
          <w:left w:val="single" w:color="2EC4B6" w:sz="8"/>
        </w:pBdr>
        <w:spacing w:before="80" w:after="80"/>
        <w:ind w:left="360"/>
      </w:pPr>
      <w:r>
        <w:rPr>
          <w:rFonts w:ascii="Arial" w:cs="Arial" w:eastAsia="Arial" w:hAnsi="Arial"/>
          <w:b/>
          <w:bCs/>
          <w:color w:val="2EC4B6"/>
          <w:sz w:val="20"/>
          <w:szCs w:val="20"/>
        </w:rPr>
        <w:t xml:space="preserve">TALK TRACK: </w:t>
      </w:r>
      <w:r>
        <w:rPr>
          <w:rFonts w:ascii="Arial" w:cs="Arial" w:eastAsia="Arial" w:hAnsi="Arial"/>
          <w:i/>
          <w:iCs/>
          <w:color w:val="555555"/>
          <w:sz w:val="20"/>
          <w:szCs w:val="20"/>
        </w:rPr>
        <w:t xml:space="preserve">The left chart ranks all 15 top features by estimated dollar impact per policy. Roof vulnerability satellite data alone contributes $211 per policy in adjustment. The right chart shows the geographic consequence: California averages +8% surcharge from wildfire-roof interactions. Colorado and Washington follow at +3%. States without concentrated compound-peril exposure — Georgia, Louisiana, the ‘Other’ bucket — actually receive small average credits because the intelligence layer recognizes they were cross-subsidizing the high-risk states under the GLM.</w:t>
      </w:r>
    </w:p>
    <w:p>
      <w:pPr>
        <w:pStyle w:val="Heading2"/>
        <w:spacing w:before="360" w:after="200"/>
      </w:pPr>
      <w:r>
        <w:t xml:space="preserve">4.3 Compounding Risk — The Interaction Heatmap</w:t>
      </w:r>
    </w:p>
    <w:p>
      <w:pPr>
        <w:shd w:fill="F0F4FA" w:val="clear"/>
        <w:spacing w:before="40" w:after="40"/>
        <w:ind w:left="240" w:right="240"/>
      </w:pPr>
      <w:r>
        <w:rPr>
          <w:rFonts w:ascii="Arial" w:cs="Arial" w:eastAsia="Arial" w:hAnsi="Arial"/>
          <w:b/>
          <w:bCs/>
          <w:color w:val="1B2A4A"/>
          <w:sz w:val="18"/>
          <w:szCs w:val="18"/>
        </w:rPr>
        <w:t xml:space="preserve">VISUAL: </w:t>
      </w:r>
      <w:r>
        <w:rPr>
          <w:rFonts w:ascii="Arial" w:cs="Arial" w:eastAsia="Arial" w:hAnsi="Arial"/>
          <w:color w:val="1B2A4A"/>
          <w:sz w:val="18"/>
          <w:szCs w:val="18"/>
        </w:rPr>
        <w:t xml:space="preserve">Intelligence Signals Tab → Wildfire × Roof Vulnerability heatmap</w:t>
      </w:r>
    </w:p>
    <w:p>
      <w:pPr>
        <w:pBdr>
          <w:left w:val="single" w:color="2EC4B6" w:sz="8"/>
        </w:pBdr>
        <w:spacing w:before="80" w:after="80"/>
        <w:ind w:left="360"/>
      </w:pPr>
      <w:r>
        <w:rPr>
          <w:rFonts w:ascii="Arial" w:cs="Arial" w:eastAsia="Arial" w:hAnsi="Arial"/>
          <w:b/>
          <w:bCs/>
          <w:color w:val="2EC4B6"/>
          <w:sz w:val="20"/>
          <w:szCs w:val="20"/>
        </w:rPr>
        <w:t xml:space="preserve">TALK TRACK: </w:t>
      </w:r>
      <w:r>
        <w:rPr>
          <w:rFonts w:ascii="Arial" w:cs="Arial" w:eastAsia="Arial" w:hAnsi="Arial"/>
          <w:i/>
          <w:iCs/>
          <w:color w:val="555555"/>
          <w:sz w:val="20"/>
          <w:szCs w:val="20"/>
        </w:rPr>
        <w:t xml:space="preserve">This is the chart that makes the interaction story concrete. Each cell shows the average GA2M surcharge for policies with that combination of wildfire exposure and roof vulnerability. Lower-left is green — low wildfire, good roof, slight credits. Upper-right is deep red — high wildfire, vulnerable roof, 60% surcharge. A GLM would show this surface as flat, because it prices wildfire and roof vulnerability independently and multiplies them. The GA2M captures the compounding effect: a vulnerable roof in a high-wildfire zone isn’t just the sum of two risk factors. It’s a qualitatively different risk profile that concentrates losses.</w:t>
      </w:r>
    </w:p>
    <w:p>
      <w:pPr>
        <w:pBdr>
          <w:left w:val="single" w:color="D4A843" w:sz="8"/>
        </w:pBdr>
        <w:shd w:fill="FFF8EF" w:val="clear"/>
        <w:spacing w:before="80" w:after="80"/>
        <w:ind w:left="240" w:right="240"/>
      </w:pPr>
      <w:r>
        <w:rPr>
          <w:rFonts w:ascii="Arial" w:cs="Arial" w:eastAsia="Arial" w:hAnsi="Arial"/>
          <w:b/>
          <w:bCs/>
          <w:color w:val="D4A843"/>
          <w:sz w:val="20"/>
          <w:szCs w:val="20"/>
        </w:rPr>
        <w:t xml:space="preserve">KEY MESSAGE: </w:t>
      </w:r>
      <w:r>
        <w:rPr>
          <w:rFonts w:ascii="Arial" w:cs="Arial" w:eastAsia="Arial" w:hAnsi="Arial"/>
          <w:color w:val="444444"/>
          <w:sz w:val="20"/>
          <w:szCs w:val="20"/>
        </w:rPr>
        <w:t xml:space="preserve">The interaction heatmap is the visual proof that additive models systematically underprice compound-peril risks. This is where adverse selection concentrates.</w:t>
      </w:r>
    </w:p>
    <w:p>
      <w:r>
        <w:br w:type="page"/>
      </w:r>
    </w:p>
    <w:p>
      <w:pPr>
        <w:pStyle w:val="Heading1"/>
        <w:spacing w:before="360" w:after="200"/>
      </w:pPr>
      <w:r>
        <w:t xml:space="preserve">5. Policy Lens Tab — The Underwriter Experience</w:t>
      </w:r>
    </w:p>
    <w:p>
      <w:pPr>
        <w:spacing w:before="40" w:after="80"/>
        <w:jc w:val="right"/>
      </w:pPr>
      <w:r>
        <w:rPr>
          <w:rFonts w:ascii="Arial" w:cs="Arial" w:eastAsia="Arial" w:hAnsi="Arial"/>
          <w:b/>
          <w:bCs/>
          <w:color w:val="8D9EAD"/>
          <w:sz w:val="18"/>
          <w:szCs w:val="18"/>
        </w:rPr>
        <w:t xml:space="preserve">⏱ 5 min</w:t>
      </w:r>
    </w:p>
    <w:p>
      <w:pPr>
        <w:spacing w:before="60" w:after="60"/>
      </w:pPr>
      <w:r>
        <w:rPr>
          <w:rFonts w:ascii="Arial" w:cs="Arial" w:eastAsia="Arial" w:hAnsi="Arial"/>
          <w:i/>
          <w:iCs/>
          <w:color w:val="8D9EAD"/>
          <w:sz w:val="20"/>
          <w:szCs w:val="20"/>
        </w:rPr>
        <w:t xml:space="preserve">[Navigate to Policy Lens tab. WUI Wildfire Risk archetype should be pre-selected.]</w:t>
      </w:r>
    </w:p>
    <w:p>
      <w:pPr>
        <w:pStyle w:val="Heading2"/>
        <w:spacing w:before="360" w:after="200"/>
      </w:pPr>
      <w:r>
        <w:t xml:space="preserve">5.1 Named Archetypes — The Story Portfolio</w:t>
      </w:r>
    </w:p>
    <w:p>
      <w:pPr>
        <w:shd w:fill="F0F4FA" w:val="clear"/>
        <w:spacing w:before="40" w:after="40"/>
        <w:ind w:left="240" w:right="240"/>
      </w:pPr>
      <w:r>
        <w:rPr>
          <w:rFonts w:ascii="Arial" w:cs="Arial" w:eastAsia="Arial" w:hAnsi="Arial"/>
          <w:b/>
          <w:bCs/>
          <w:color w:val="1B2A4A"/>
          <w:sz w:val="18"/>
          <w:szCs w:val="18"/>
        </w:rPr>
        <w:t xml:space="preserve">VISUAL: </w:t>
      </w:r>
      <w:r>
        <w:rPr>
          <w:rFonts w:ascii="Arial" w:cs="Arial" w:eastAsia="Arial" w:hAnsi="Arial"/>
          <w:color w:val="1B2A4A"/>
          <w:sz w:val="18"/>
          <w:szCs w:val="18"/>
        </w:rPr>
        <w:t xml:space="preserve">Policy Lens Tab → Quick Pick tiles (left panel) + Strategic waterfall (right panel)</w:t>
      </w:r>
    </w:p>
    <w:p>
      <w:pPr>
        <w:pBdr>
          <w:left w:val="single" w:color="2EC4B6" w:sz="8"/>
        </w:pBdr>
        <w:spacing w:before="80" w:after="80"/>
        <w:ind w:left="360"/>
      </w:pPr>
      <w:r>
        <w:rPr>
          <w:rFonts w:ascii="Arial" w:cs="Arial" w:eastAsia="Arial" w:hAnsi="Arial"/>
          <w:b/>
          <w:bCs/>
          <w:color w:val="2EC4B6"/>
          <w:sz w:val="20"/>
          <w:szCs w:val="20"/>
        </w:rPr>
        <w:t xml:space="preserve">TALK TRACK: </w:t>
      </w:r>
      <w:r>
        <w:rPr>
          <w:rFonts w:ascii="Arial" w:cs="Arial" w:eastAsia="Arial" w:hAnsi="Arial"/>
          <w:i/>
          <w:iCs/>
          <w:color w:val="555555"/>
          <w:sz w:val="20"/>
          <w:szCs w:val="20"/>
        </w:rPr>
        <w:t xml:space="preserve">We’ve pre-selected eight named risk archetypes that represent distinct pricing stories. Let me walk through the one that’s most relevant to your California book.</w:t>
      </w:r>
    </w:p>
    <w:p>
      <w:pPr>
        <w:spacing w:before="0" w:after="120"/>
      </w:pPr>
    </w:p>
    <w:p>
      <w:pPr>
        <w:spacing w:before="0" w:after="120"/>
      </w:pPr>
      <w:r>
        <w:rPr>
          <w:rFonts w:ascii="Arial" w:cs="Arial" w:eastAsia="Arial" w:hAnsi="Arial"/>
          <w:b/>
          <w:bCs/>
          <w:color w:val="1B2A4A"/>
          <w:sz w:val="22"/>
          <w:szCs w:val="22"/>
        </w:rPr>
        <w:t xml:space="preserve">WUI Wildfire Risk: </w:t>
      </w:r>
      <w:r>
        <w:rPr>
          <w:rFonts w:ascii="Arial" w:cs="Arial" w:eastAsia="Arial" w:hAnsi="Arial"/>
          <w:color w:val="333333"/>
          <w:sz w:val="22"/>
          <w:szCs w:val="22"/>
        </w:rPr>
        <w:t xml:space="preserve">GLM prices this at $2,041. True expected loss: substantially higher. The intelligence layer adds a +60% surcharge, bringing the final premium to $3,262. Click Strategic view — the three-bar waterfall shows the story in one glance: legacy estimate, intelligence adjustment, final premium.</w:t>
      </w:r>
    </w:p>
    <w:p>
      <w:pPr>
        <w:pStyle w:val="Heading2"/>
        <w:spacing w:before="360" w:after="200"/>
      </w:pPr>
      <w:r>
        <w:t xml:space="preserve">5.2 GLM Breakdown — Actuarial Audit Trail</w:t>
      </w:r>
    </w:p>
    <w:p>
      <w:pPr>
        <w:shd w:fill="F0F4FA" w:val="clear"/>
        <w:spacing w:before="40" w:after="40"/>
        <w:ind w:left="240" w:right="240"/>
      </w:pPr>
      <w:r>
        <w:rPr>
          <w:rFonts w:ascii="Arial" w:cs="Arial" w:eastAsia="Arial" w:hAnsi="Arial"/>
          <w:b/>
          <w:bCs/>
          <w:color w:val="1B2A4A"/>
          <w:sz w:val="18"/>
          <w:szCs w:val="18"/>
        </w:rPr>
        <w:t xml:space="preserve">VISUAL: </w:t>
      </w:r>
      <w:r>
        <w:rPr>
          <w:rFonts w:ascii="Arial" w:cs="Arial" w:eastAsia="Arial" w:hAnsi="Arial"/>
          <w:color w:val="1B2A4A"/>
          <w:sz w:val="18"/>
          <w:szCs w:val="18"/>
        </w:rPr>
        <w:t xml:space="preserve">Policy Lens Tab → GLM Breakdown waterfall</w:t>
      </w:r>
    </w:p>
    <w:p>
      <w:pPr>
        <w:spacing w:before="60" w:after="60"/>
      </w:pPr>
      <w:r>
        <w:rPr>
          <w:rFonts w:ascii="Arial" w:cs="Arial" w:eastAsia="Arial" w:hAnsi="Arial"/>
          <w:i/>
          <w:iCs/>
          <w:color w:val="8D9EAD"/>
          <w:sz w:val="20"/>
          <w:szCs w:val="20"/>
        </w:rPr>
        <w:t xml:space="preserve">[Click GLM Breakdown button.]</w:t>
      </w:r>
    </w:p>
    <w:p>
      <w:pPr>
        <w:pBdr>
          <w:left w:val="single" w:color="2EC4B6" w:sz="8"/>
        </w:pBdr>
        <w:spacing w:before="80" w:after="80"/>
        <w:ind w:left="360"/>
      </w:pPr>
      <w:r>
        <w:rPr>
          <w:rFonts w:ascii="Arial" w:cs="Arial" w:eastAsia="Arial" w:hAnsi="Arial"/>
          <w:b/>
          <w:bCs/>
          <w:color w:val="2EC4B6"/>
          <w:sz w:val="20"/>
          <w:szCs w:val="20"/>
        </w:rPr>
        <w:t xml:space="preserve">TALK TRACK: </w:t>
      </w:r>
      <w:r>
        <w:rPr>
          <w:rFonts w:ascii="Arial" w:cs="Arial" w:eastAsia="Arial" w:hAnsi="Arial"/>
          <w:i/>
          <w:iCs/>
          <w:color w:val="555555"/>
          <w:sz w:val="20"/>
          <w:szCs w:val="20"/>
        </w:rPr>
        <w:t xml:space="preserve">This is what your current rating plan sees. Every bar is a GLM coefficient contribution in dollar terms. Dwelling age adds $2,085 in risk. Protection class adds $1,515. Credit score subtracts $714. These are the standard actuarial levers. The waterfall sums to $2,870 — that’s the GLM’s answer. For an underwriter, this is a familiar audit trail: every dollar is traceable to a rating factor with a p-value.</w:t>
      </w:r>
    </w:p>
    <w:p>
      <w:pPr>
        <w:pStyle w:val="Heading2"/>
        <w:spacing w:before="360" w:after="200"/>
      </w:pPr>
      <w:r>
        <w:t xml:space="preserve">5.3 GA2M Intelligence — What the GLM Misses</w:t>
      </w:r>
    </w:p>
    <w:p>
      <w:pPr>
        <w:shd w:fill="F0F4FA" w:val="clear"/>
        <w:spacing w:before="40" w:after="40"/>
        <w:ind w:left="240" w:right="240"/>
      </w:pPr>
      <w:r>
        <w:rPr>
          <w:rFonts w:ascii="Arial" w:cs="Arial" w:eastAsia="Arial" w:hAnsi="Arial"/>
          <w:b/>
          <w:bCs/>
          <w:color w:val="1B2A4A"/>
          <w:sz w:val="18"/>
          <w:szCs w:val="18"/>
        </w:rPr>
        <w:t xml:space="preserve">VISUAL: </w:t>
      </w:r>
      <w:r>
        <w:rPr>
          <w:rFonts w:ascii="Arial" w:cs="Arial" w:eastAsia="Arial" w:hAnsi="Arial"/>
          <w:color w:val="1B2A4A"/>
          <w:sz w:val="18"/>
          <w:szCs w:val="18"/>
        </w:rPr>
        <w:t xml:space="preserve">Policy Lens Tab → GA2M Intelligence waterfall</w:t>
      </w:r>
    </w:p>
    <w:p>
      <w:pPr>
        <w:spacing w:before="60" w:after="60"/>
      </w:pPr>
      <w:r>
        <w:rPr>
          <w:rFonts w:ascii="Arial" w:cs="Arial" w:eastAsia="Arial" w:hAnsi="Arial"/>
          <w:i/>
          <w:iCs/>
          <w:color w:val="8D9EAD"/>
          <w:sz w:val="20"/>
          <w:szCs w:val="20"/>
        </w:rPr>
        <w:t xml:space="preserve">[Click GA2M Intelligence button.]</w:t>
      </w:r>
    </w:p>
    <w:p>
      <w:pPr>
        <w:pBdr>
          <w:left w:val="single" w:color="2EC4B6" w:sz="8"/>
        </w:pBdr>
        <w:spacing w:before="80" w:after="80"/>
        <w:ind w:left="360"/>
      </w:pPr>
      <w:r>
        <w:rPr>
          <w:rFonts w:ascii="Arial" w:cs="Arial" w:eastAsia="Arial" w:hAnsi="Arial"/>
          <w:b/>
          <w:bCs/>
          <w:color w:val="2EC4B6"/>
          <w:sz w:val="20"/>
          <w:szCs w:val="20"/>
        </w:rPr>
        <w:t xml:space="preserve">TALK TRACK: </w:t>
      </w:r>
      <w:r>
        <w:rPr>
          <w:rFonts w:ascii="Arial" w:cs="Arial" w:eastAsia="Arial" w:hAnsi="Arial"/>
          <w:i/>
          <w:iCs/>
          <w:color w:val="555555"/>
          <w:sz w:val="20"/>
          <w:szCs w:val="20"/>
        </w:rPr>
        <w:t xml:space="preserve">Now look at what the intelligence layer adds. Wildfire exposure alone contributes $1,664 — more than any single GLM factor. That’s the convex acceleration past index 30 that the GLM can’t represent. Notice the interaction term: Crime Severity × RCV Overstatement adds $127. That’s a compound-peril signal — a property with inflated replacement cost in a high-crime area is a moral hazard indicator that doesn’t exist in the additive GLM. Every bar decomposes exactly into an auditable per-feature contribution. No SHAP approximation. No black-box post-hoc explanation. This is the model’s actual internal arithmetic.</w:t>
      </w:r>
    </w:p>
    <w:p>
      <w:pPr>
        <w:pBdr>
          <w:left w:val="single" w:color="D4A843" w:sz="8"/>
        </w:pBdr>
        <w:shd w:fill="FFF8EF" w:val="clear"/>
        <w:spacing w:before="80" w:after="80"/>
        <w:ind w:left="240" w:right="240"/>
      </w:pPr>
      <w:r>
        <w:rPr>
          <w:rFonts w:ascii="Arial" w:cs="Arial" w:eastAsia="Arial" w:hAnsi="Arial"/>
          <w:b/>
          <w:bCs/>
          <w:color w:val="D4A843"/>
          <w:sz w:val="20"/>
          <w:szCs w:val="20"/>
        </w:rPr>
        <w:t xml:space="preserve">KEY MESSAGE: </w:t>
      </w:r>
      <w:r>
        <w:rPr>
          <w:rFonts w:ascii="Arial" w:cs="Arial" w:eastAsia="Arial" w:hAnsi="Arial"/>
          <w:color w:val="444444"/>
          <w:sz w:val="20"/>
          <w:szCs w:val="20"/>
        </w:rPr>
        <w:t xml:space="preserve">The three waterfall views give your underwriters a complete audit trail: what the GLM sees, what it misses, and how the intelligence layer corrects it — all in dollar terms.</w:t>
      </w:r>
    </w:p>
    <w:p>
      <w:pPr>
        <w:spacing w:before="0" w:after="120"/>
      </w:pPr>
    </w:p>
    <w:p>
      <w:pPr>
        <w:spacing w:before="0" w:after="120"/>
      </w:pPr>
      <w:r>
        <w:rPr>
          <w:rFonts w:ascii="Arial" w:cs="Arial" w:eastAsia="Arial" w:hAnsi="Arial"/>
          <w:b/>
          <w:bCs/>
          <w:color w:val="1B2A4A"/>
          <w:sz w:val="22"/>
          <w:szCs w:val="22"/>
        </w:rPr>
        <w:t xml:space="preserve">Demo tip: </w:t>
      </w:r>
      <w:r>
        <w:rPr>
          <w:rFonts w:ascii="Arial" w:cs="Arial" w:eastAsia="Arial" w:hAnsi="Arial"/>
          <w:color w:val="333333"/>
          <w:sz w:val="22"/>
          <w:szCs w:val="22"/>
        </w:rPr>
        <w:t xml:space="preserve">Click through 2–3 archetypes during the live demo. The Hidden Gem (−31%) and Suburban Standard (−1%) provide useful contrast to the surcharge-heavy archetypes. The Hidden Gem shows a policy the GLM overcharges — a competitive retention risk.</w:t>
      </w:r>
    </w:p>
    <w:p>
      <w:r>
        <w:br w:type="page"/>
      </w:r>
    </w:p>
    <w:p>
      <w:pPr>
        <w:pStyle w:val="Heading1"/>
        <w:spacing w:before="360" w:after="200"/>
      </w:pPr>
      <w:r>
        <w:t xml:space="preserve">6. Framework Tab — How It Works Under the Hood</w:t>
      </w:r>
    </w:p>
    <w:p>
      <w:pPr>
        <w:spacing w:before="40" w:after="80"/>
        <w:jc w:val="right"/>
      </w:pPr>
      <w:r>
        <w:rPr>
          <w:rFonts w:ascii="Arial" w:cs="Arial" w:eastAsia="Arial" w:hAnsi="Arial"/>
          <w:b/>
          <w:bCs/>
          <w:color w:val="8D9EAD"/>
          <w:sz w:val="18"/>
          <w:szCs w:val="18"/>
        </w:rPr>
        <w:t xml:space="preserve">⏱ 4 min</w:t>
      </w:r>
    </w:p>
    <w:p>
      <w:pPr>
        <w:spacing w:before="60" w:after="60"/>
      </w:pPr>
      <w:r>
        <w:rPr>
          <w:rFonts w:ascii="Arial" w:cs="Arial" w:eastAsia="Arial" w:hAnsi="Arial"/>
          <w:i/>
          <w:iCs/>
          <w:color w:val="8D9EAD"/>
          <w:sz w:val="20"/>
          <w:szCs w:val="20"/>
        </w:rPr>
        <w:t xml:space="preserve">[Navigate to Framework tab.]</w:t>
      </w:r>
    </w:p>
    <w:p>
      <w:pPr>
        <w:pStyle w:val="Heading2"/>
        <w:spacing w:before="360" w:after="200"/>
      </w:pPr>
      <w:r>
        <w:t xml:space="preserve">6.1 Architecture Diagram</w:t>
      </w:r>
    </w:p>
    <w:p>
      <w:pPr>
        <w:shd w:fill="F0F4FA" w:val="clear"/>
        <w:spacing w:before="40" w:after="40"/>
        <w:ind w:left="240" w:right="240"/>
      </w:pPr>
      <w:r>
        <w:rPr>
          <w:rFonts w:ascii="Arial" w:cs="Arial" w:eastAsia="Arial" w:hAnsi="Arial"/>
          <w:b/>
          <w:bCs/>
          <w:color w:val="1B2A4A"/>
          <w:sz w:val="18"/>
          <w:szCs w:val="18"/>
        </w:rPr>
        <w:t xml:space="preserve">VISUAL: </w:t>
      </w:r>
      <w:r>
        <w:rPr>
          <w:rFonts w:ascii="Arial" w:cs="Arial" w:eastAsia="Arial" w:hAnsi="Arial"/>
          <w:color w:val="1B2A4A"/>
          <w:sz w:val="18"/>
          <w:szCs w:val="18"/>
        </w:rPr>
        <w:t xml:space="preserve">Framework Tab → Five-box pipeline diagram</w:t>
      </w:r>
    </w:p>
    <w:p>
      <w:pPr>
        <w:pBdr>
          <w:left w:val="single" w:color="2EC4B6" w:sz="8"/>
        </w:pBdr>
        <w:spacing w:before="80" w:after="80"/>
        <w:ind w:left="360"/>
      </w:pPr>
      <w:r>
        <w:rPr>
          <w:rFonts w:ascii="Arial" w:cs="Arial" w:eastAsia="Arial" w:hAnsi="Arial"/>
          <w:b/>
          <w:bCs/>
          <w:color w:val="2EC4B6"/>
          <w:sz w:val="20"/>
          <w:szCs w:val="20"/>
        </w:rPr>
        <w:t xml:space="preserve">TALK TRACK: </w:t>
      </w:r>
      <w:r>
        <w:rPr>
          <w:rFonts w:ascii="Arial" w:cs="Arial" w:eastAsia="Arial" w:hAnsi="Arial"/>
          <w:i/>
          <w:iCs/>
          <w:color w:val="555555"/>
          <w:sz w:val="20"/>
          <w:szCs w:val="20"/>
        </w:rPr>
        <w:t xml:space="preserve">The architecture is deliberately simple. 28 property features flow into your existing Poisson × Gamma GLM with 16 variables. That produces a baseline pure premium. The GA2M residual layer then trains on the log-scale residual — log of true loss divided by GLM prediction. It learns 28 shape functions and 15 pairwise interactions. The output is an uplift factor clipped to a corridor of 0.65× to 1.60×, normalized so the weighted mean equals exactly 1.0. Final premium equals GLM premium times this uplift factor. The key design principle is separation of concerns: the GLM handles linear exposure relativities in the language regulators already accept. The GA2M captures everything the GLM structurally cannot.</w:t>
      </w:r>
    </w:p>
    <w:p>
      <w:pPr>
        <w:pStyle w:val="Heading2"/>
        <w:spacing w:before="360" w:after="200"/>
      </w:pPr>
      <w:r>
        <w:t xml:space="preserve">6.2 Mathematical Specification</w:t>
      </w:r>
    </w:p>
    <w:p>
      <w:pPr>
        <w:shd w:fill="F0F4FA" w:val="clear"/>
        <w:spacing w:before="40" w:after="40"/>
        <w:ind w:left="240" w:right="240"/>
      </w:pPr>
      <w:r>
        <w:rPr>
          <w:rFonts w:ascii="Arial" w:cs="Arial" w:eastAsia="Arial" w:hAnsi="Arial"/>
          <w:b/>
          <w:bCs/>
          <w:color w:val="1B2A4A"/>
          <w:sz w:val="18"/>
          <w:szCs w:val="18"/>
        </w:rPr>
        <w:t xml:space="preserve">VISUAL: </w:t>
      </w:r>
      <w:r>
        <w:rPr>
          <w:rFonts w:ascii="Arial" w:cs="Arial" w:eastAsia="Arial" w:hAnsi="Arial"/>
          <w:color w:val="1B2A4A"/>
          <w:sz w:val="18"/>
          <w:szCs w:val="18"/>
        </w:rPr>
        <w:t xml:space="preserve">Framework Tab → Section 1 (GLM spec) + Section 3 (GA2M spec)</w:t>
      </w:r>
    </w:p>
    <w:p>
      <w:pPr>
        <w:pBdr>
          <w:left w:val="single" w:color="2EC4B6" w:sz="8"/>
        </w:pBdr>
        <w:spacing w:before="80" w:after="80"/>
        <w:ind w:left="360"/>
      </w:pPr>
      <w:r>
        <w:rPr>
          <w:rFonts w:ascii="Arial" w:cs="Arial" w:eastAsia="Arial" w:hAnsi="Arial"/>
          <w:b/>
          <w:bCs/>
          <w:color w:val="2EC4B6"/>
          <w:sz w:val="20"/>
          <w:szCs w:val="20"/>
        </w:rPr>
        <w:t xml:space="preserve">TALK TRACK: </w:t>
      </w:r>
      <w:r>
        <w:rPr>
          <w:rFonts w:ascii="Arial" w:cs="Arial" w:eastAsia="Arial" w:hAnsi="Arial"/>
          <w:i/>
          <w:iCs/>
          <w:color w:val="555555"/>
          <w:sz w:val="20"/>
          <w:szCs w:val="20"/>
        </w:rPr>
        <w:t xml:space="preserve">For your actuarial team — every formula is explicit. The GLM is standard statsmodels with deviance diagnostics, AIC, and p-values. The GA2M uses InterpretML’s Explainable Boosting Machine with 6 forced interactions covering the key compound-peril pairs, plus 9 auto-discovered interactions. The corridor at 0.65× to 1.60× is intentionally asymmetric: underpriced risks pose greater adverse selection danger, so the upward correction ceiling is wider. Risk neutrality is enforced by dividing all uplift factors by their GLM-premium-weighted mean.</w:t>
      </w:r>
    </w:p>
    <w:p>
      <w:pPr>
        <w:pStyle w:val="Heading2"/>
        <w:spacing w:before="360" w:after="200"/>
      </w:pPr>
      <w:r>
        <w:t xml:space="preserve">6.3 Validation Characteristics</w:t>
      </w:r>
    </w:p>
    <w:p>
      <w:pPr>
        <w:shd w:fill="F0F4FA" w:val="clear"/>
        <w:spacing w:before="40" w:after="40"/>
        <w:ind w:left="240" w:right="240"/>
      </w:pPr>
      <w:r>
        <w:rPr>
          <w:rFonts w:ascii="Arial" w:cs="Arial" w:eastAsia="Arial" w:hAnsi="Arial"/>
          <w:b/>
          <w:bCs/>
          <w:color w:val="1B2A4A"/>
          <w:sz w:val="18"/>
          <w:szCs w:val="18"/>
        </w:rPr>
        <w:t xml:space="preserve">VISUAL: </w:t>
      </w:r>
      <w:r>
        <w:rPr>
          <w:rFonts w:ascii="Arial" w:cs="Arial" w:eastAsia="Arial" w:hAnsi="Arial"/>
          <w:color w:val="1B2A4A"/>
          <w:sz w:val="18"/>
          <w:szCs w:val="18"/>
        </w:rPr>
        <w:t xml:space="preserve">Framework Tab → Section 5 — Performance chips + Production validation checklist</w:t>
      </w:r>
    </w:p>
    <w:p>
      <w:pPr>
        <w:pBdr>
          <w:left w:val="single" w:color="2EC4B6" w:sz="8"/>
        </w:pBdr>
        <w:spacing w:before="80" w:after="80"/>
        <w:ind w:left="360"/>
      </w:pPr>
      <w:r>
        <w:rPr>
          <w:rFonts w:ascii="Arial" w:cs="Arial" w:eastAsia="Arial" w:hAnsi="Arial"/>
          <w:b/>
          <w:bCs/>
          <w:color w:val="2EC4B6"/>
          <w:sz w:val="20"/>
          <w:szCs w:val="20"/>
        </w:rPr>
        <w:t xml:space="preserve">TALK TRACK: </w:t>
      </w:r>
      <w:r>
        <w:rPr>
          <w:rFonts w:ascii="Arial" w:cs="Arial" w:eastAsia="Arial" w:hAnsi="Arial"/>
          <w:i/>
          <w:iCs/>
          <w:color w:val="555555"/>
          <w:sz w:val="20"/>
          <w:szCs w:val="20"/>
        </w:rPr>
        <w:t xml:space="preserve">All metrics are computed on a held-out 20% test set — 20,000 policies the model never saw during training. GLM R-squared: 0.6635 — solidly within the typical production range. Combined R-squared: 0.8028. Lift: +0.1393. The intelligence layer recovers 41.4% of the GLM’s unexplained variance. Risk neutrality: 1.0000× to six decimal places. The production validation checklist on the right maps directly to what your model validation team would require: out-of-time validation, Gini improvement, monotonicity tests, bias audits, and rate impact studies.</w:t>
      </w:r>
    </w:p>
    <w:p>
      <w:r>
        <w:br w:type="page"/>
      </w:r>
    </w:p>
    <w:p>
      <w:pPr>
        <w:pStyle w:val="Heading1"/>
        <w:spacing w:before="360" w:after="200"/>
      </w:pPr>
      <w:r>
        <w:t xml:space="preserve">7. Closing &amp; Objection Handling</w:t>
      </w:r>
    </w:p>
    <w:p>
      <w:pPr>
        <w:spacing w:before="40" w:after="80"/>
        <w:jc w:val="right"/>
      </w:pPr>
      <w:r>
        <w:rPr>
          <w:rFonts w:ascii="Arial" w:cs="Arial" w:eastAsia="Arial" w:hAnsi="Arial"/>
          <w:b/>
          <w:bCs/>
          <w:color w:val="8D9EAD"/>
          <w:sz w:val="18"/>
          <w:szCs w:val="18"/>
        </w:rPr>
        <w:t xml:space="preserve">⏱ 3 min</w:t>
      </w:r>
    </w:p>
    <w:p>
      <w:pPr>
        <w:pStyle w:val="Heading2"/>
        <w:spacing w:before="360" w:after="200"/>
      </w:pPr>
      <w:r>
        <w:t xml:space="preserve">The Close</w:t>
      </w:r>
    </w:p>
    <w:p>
      <w:pPr>
        <w:pBdr>
          <w:left w:val="single" w:color="2EC4B6" w:sz="8"/>
        </w:pBdr>
        <w:spacing w:before="80" w:after="80"/>
        <w:ind w:left="360"/>
      </w:pPr>
      <w:r>
        <w:rPr>
          <w:rFonts w:ascii="Arial" w:cs="Arial" w:eastAsia="Arial" w:hAnsi="Arial"/>
          <w:b/>
          <w:bCs/>
          <w:color w:val="2EC4B6"/>
          <w:sz w:val="20"/>
          <w:szCs w:val="20"/>
        </w:rPr>
        <w:t xml:space="preserve">TALK TRACK: </w:t>
      </w:r>
      <w:r>
        <w:rPr>
          <w:rFonts w:ascii="Arial" w:cs="Arial" w:eastAsia="Arial" w:hAnsi="Arial"/>
          <w:i/>
          <w:iCs/>
          <w:color w:val="555555"/>
          <w:sz w:val="20"/>
          <w:szCs w:val="20"/>
        </w:rPr>
        <w:t xml:space="preserve">To summarize: your GLM explains 66% of premium variance. Our intelligence layer raises that to 80% while maintaining exact book-level neutrality. That’s $16 million of identified adverse selection leakage and $16 million of competitive exposure on overpriced policies — on a $211 million book. Every adjustment decomposes into auditable per-feature contributions in the language your regulators already accept. This isn’t a rip-and-replace. It’s an intelligence layer that makes your existing infrastructure smarter.</w:t>
      </w:r>
    </w:p>
    <w:p>
      <w:pPr>
        <w:pStyle w:val="Heading2"/>
        <w:spacing w:before="360" w:after="200"/>
      </w:pPr>
      <w:r>
        <w:t xml:space="preserve">Anticipated Objections</w:t>
      </w:r>
    </w:p>
    <w:p>
      <w:pPr>
        <w:spacing w:before="0" w:after="120"/>
      </w:pPr>
      <w:r>
        <w:rPr>
          <w:rFonts w:ascii="Arial" w:cs="Arial" w:eastAsia="Arial" w:hAnsi="Arial"/>
          <w:b/>
          <w:bCs/>
          <w:color w:val="1B2A4A"/>
          <w:sz w:val="22"/>
          <w:szCs w:val="22"/>
        </w:rPr>
        <w:t xml:space="preserve">"We already use GBMs internally."</w:t>
      </w:r>
    </w:p>
    <w:p>
      <w:pPr>
        <w:spacing w:before="0" w:after="120"/>
      </w:pPr>
      <w:r>
        <w:rPr>
          <w:rFonts w:ascii="Arial" w:cs="Arial" w:eastAsia="Arial" w:hAnsi="Arial"/>
          <w:color w:val="333333"/>
          <w:sz w:val="22"/>
          <w:szCs w:val="22"/>
        </w:rPr>
        <w:t xml:space="preserve">GBMs are black boxes that require post-hoc SHAP approximation for interpretability. A GA2M provides exact decomposition — no approximation involved. Every prediction is the literal sum of its shape function values. That’s a fundamentally different regulatory and audit story.</w:t>
      </w:r>
    </w:p>
    <w:p>
      <w:pPr>
        <w:spacing w:before="0" w:after="120"/>
      </w:pPr>
    </w:p>
    <w:p>
      <w:pPr>
        <w:spacing w:before="0" w:after="120"/>
      </w:pPr>
      <w:r>
        <w:rPr>
          <w:rFonts w:ascii="Arial" w:cs="Arial" w:eastAsia="Arial" w:hAnsi="Arial"/>
          <w:b/>
          <w:bCs/>
          <w:color w:val="1B2A4A"/>
          <w:sz w:val="22"/>
          <w:szCs w:val="22"/>
        </w:rPr>
        <w:t xml:space="preserve">"How does this survive rate filing?"</w:t>
      </w:r>
    </w:p>
    <w:p>
      <w:pPr>
        <w:spacing w:before="0" w:after="120"/>
      </w:pPr>
      <w:r>
        <w:rPr>
          <w:rFonts w:ascii="Arial" w:cs="Arial" w:eastAsia="Arial" w:hAnsi="Arial"/>
          <w:color w:val="333333"/>
          <w:sz w:val="22"/>
          <w:szCs w:val="22"/>
        </w:rPr>
        <w:t xml:space="preserve">The GA2M’s contributions are log-uplift addends — multiplicative relativities, the same language ISO/Bureau tariff structures use. The corridor bounds ensure no individual policy moves more than +60%/−35%, and book-level premium is invariant. Several states already accept EBM-based rate justification.</w:t>
      </w:r>
    </w:p>
    <w:p>
      <w:pPr>
        <w:spacing w:before="0" w:after="120"/>
      </w:pPr>
    </w:p>
    <w:p>
      <w:pPr>
        <w:spacing w:before="0" w:after="120"/>
      </w:pPr>
      <w:r>
        <w:rPr>
          <w:rFonts w:ascii="Arial" w:cs="Arial" w:eastAsia="Arial" w:hAnsi="Arial"/>
          <w:b/>
          <w:bCs/>
          <w:color w:val="1B2A4A"/>
          <w:sz w:val="22"/>
          <w:szCs w:val="22"/>
        </w:rPr>
        <w:t xml:space="preserve">"This is synthetic data — how do we know it works on real portfolios?"</w:t>
      </w:r>
    </w:p>
    <w:p>
      <w:pPr>
        <w:spacing w:before="0" w:after="120"/>
      </w:pPr>
      <w:r>
        <w:rPr>
          <w:rFonts w:ascii="Arial" w:cs="Arial" w:eastAsia="Arial" w:hAnsi="Arial"/>
          <w:color w:val="333333"/>
          <w:sz w:val="22"/>
          <w:szCs w:val="22"/>
        </w:rPr>
        <w:t xml:space="preserve">Correct — this demo uses 100,000 synthetic policies calibrated to realistic distributions. The architecture and methodology are production-ready; the data demonstrates the mechanism. A proof-of-concept on your actual book data is the logical next step, and we can scope that engagement today.</w:t>
      </w:r>
    </w:p>
    <w:p>
      <w:pPr>
        <w:spacing w:before="0" w:after="120"/>
      </w:pPr>
    </w:p>
    <w:p>
      <w:pPr>
        <w:spacing w:before="0" w:after="120"/>
      </w:pPr>
      <w:r>
        <w:rPr>
          <w:rFonts w:ascii="Arial" w:cs="Arial" w:eastAsia="Arial" w:hAnsi="Arial"/>
          <w:b/>
          <w:bCs/>
          <w:color w:val="1B2A4A"/>
          <w:sz w:val="22"/>
          <w:szCs w:val="22"/>
        </w:rPr>
        <w:t xml:space="preserve">"What about model stability over time?"</w:t>
      </w:r>
    </w:p>
    <w:p>
      <w:pPr>
        <w:spacing w:before="0" w:after="120"/>
      </w:pPr>
      <w:r>
        <w:rPr>
          <w:rFonts w:ascii="Arial" w:cs="Arial" w:eastAsia="Arial" w:hAnsi="Arial"/>
          <w:color w:val="333333"/>
          <w:sz w:val="22"/>
          <w:szCs w:val="22"/>
        </w:rPr>
        <w:t xml:space="preserve">The GA2M trains on a GLM residual, not raw loss data. This means it inherits the GLM’s stability on traditional factors and only learns incremental non-linear and interaction effects. The corridor bounds provide a hard safety net. In production, we’d recommend quarterly refit cadence with out-of-time monitoring.</w:t>
      </w:r>
    </w:p>
    <w:p>
      <w:r>
        <w:br w:type="page"/>
      </w:r>
    </w:p>
    <w:p>
      <w:pPr>
        <w:pStyle w:val="Heading1"/>
        <w:spacing w:before="360" w:after="200"/>
      </w:pPr>
      <w:r>
        <w:t xml:space="preserve">8. Appendix — Assumptions &amp; Honest Framing</w:t>
      </w:r>
    </w:p>
    <w:p>
      <w:pPr>
        <w:pStyle w:val="Heading2"/>
        <w:spacing w:before="360" w:after="200"/>
      </w:pPr>
      <w:r>
        <w:t xml:space="preserve">What This Demo Is</w:t>
      </w:r>
    </w:p>
    <w:p>
      <w:pPr>
        <w:pStyle w:val="ListParagraph"/>
        <w:numPr>
          <w:ilvl w:val="0"/>
          <w:numId w:val="2"/>
        </w:numPr>
        <w:spacing w:before="0" w:after="80"/>
      </w:pPr>
      <w:r>
        <w:rPr>
          <w:rFonts w:ascii="Arial" w:cs="Arial" w:eastAsia="Arial" w:hAnsi="Arial"/>
          <w:color w:val="333333"/>
          <w:sz w:val="22"/>
          <w:szCs w:val="22"/>
        </w:rPr>
        <w:t xml:space="preserve">A fully functional two-layer pricing architecture running on 100,000 synthetic homeowners policies across 10 US states.</w:t>
      </w:r>
    </w:p>
    <w:p>
      <w:pPr>
        <w:pStyle w:val="ListParagraph"/>
        <w:numPr>
          <w:ilvl w:val="0"/>
          <w:numId w:val="2"/>
        </w:numPr>
        <w:spacing w:before="0" w:after="80"/>
      </w:pPr>
      <w:r>
        <w:rPr>
          <w:rFonts w:ascii="Arial" w:cs="Arial" w:eastAsia="Arial" w:hAnsi="Arial"/>
          <w:color w:val="333333"/>
          <w:sz w:val="22"/>
          <w:szCs w:val="22"/>
        </w:rPr>
        <w:t xml:space="preserve">A proof-of-mechanism demonstrating that a glass-box GA2M residual layer recovers significant non-linear and interaction signal from a well-built GLM baseline.</w:t>
      </w:r>
    </w:p>
    <w:p>
      <w:pPr>
        <w:pStyle w:val="ListParagraph"/>
        <w:numPr>
          <w:ilvl w:val="0"/>
          <w:numId w:val="2"/>
        </w:numPr>
        <w:spacing w:before="0" w:after="80"/>
      </w:pPr>
      <w:r>
        <w:rPr>
          <w:rFonts w:ascii="Arial" w:cs="Arial" w:eastAsia="Arial" w:hAnsi="Arial"/>
          <w:color w:val="333333"/>
          <w:sz w:val="22"/>
          <w:szCs w:val="22"/>
        </w:rPr>
        <w:t xml:space="preserve">An interactive tool for exploring policy-level pricing decomposition, shape functions, and interaction surfaces.</w:t>
      </w:r>
    </w:p>
    <w:p>
      <w:pPr>
        <w:pStyle w:val="Heading2"/>
        <w:spacing w:before="360" w:after="200"/>
      </w:pPr>
      <w:r>
        <w:t xml:space="preserve">What This Demo Is Not</w:t>
      </w:r>
    </w:p>
    <w:p>
      <w:pPr>
        <w:pStyle w:val="ListParagraph"/>
        <w:numPr>
          <w:ilvl w:val="0"/>
          <w:numId w:val="2"/>
        </w:numPr>
        <w:spacing w:before="0" w:after="80"/>
      </w:pPr>
      <w:r>
        <w:rPr>
          <w:rFonts w:ascii="Arial" w:cs="Arial" w:eastAsia="Arial" w:hAnsi="Arial"/>
          <w:color w:val="333333"/>
          <w:sz w:val="22"/>
          <w:szCs w:val="22"/>
        </w:rPr>
        <w:t xml:space="preserve">Not a production model. The synthetic data calibration (claim rate, severity distribution, feature correlations) approximates but does not replicate any specific carrier’s book.</w:t>
      </w:r>
    </w:p>
    <w:p>
      <w:pPr>
        <w:pStyle w:val="ListParagraph"/>
        <w:numPr>
          <w:ilvl w:val="0"/>
          <w:numId w:val="2"/>
        </w:numPr>
        <w:spacing w:before="0" w:after="80"/>
      </w:pPr>
      <w:r>
        <w:rPr>
          <w:rFonts w:ascii="Arial" w:cs="Arial" w:eastAsia="Arial" w:hAnsi="Arial"/>
          <w:color w:val="333333"/>
          <w:sz w:val="22"/>
          <w:szCs w:val="22"/>
        </w:rPr>
        <w:t xml:space="preserve">Not a rate filing. Production deployment requires out-of-time validation on actual loss data, regulatory review, and actuarial sign-off.</w:t>
      </w:r>
    </w:p>
    <w:p>
      <w:pPr>
        <w:pStyle w:val="ListParagraph"/>
        <w:numPr>
          <w:ilvl w:val="0"/>
          <w:numId w:val="2"/>
        </w:numPr>
        <w:spacing w:before="0" w:after="80"/>
      </w:pPr>
      <w:r>
        <w:rPr>
          <w:rFonts w:ascii="Arial" w:cs="Arial" w:eastAsia="Arial" w:hAnsi="Arial"/>
          <w:color w:val="333333"/>
          <w:sz w:val="22"/>
          <w:szCs w:val="22"/>
        </w:rPr>
        <w:t xml:space="preserve">Not an alternative to the GLM. It is a constrained complement that preserves the GLM’s regulatory structure while adding interpretable intelligence.</w:t>
      </w:r>
    </w:p>
    <w:p>
      <w:pPr>
        <w:pStyle w:val="Heading2"/>
        <w:spacing w:before="360" w:after="200"/>
      </w:pPr>
      <w:r>
        <w:t xml:space="preserve">Key Assumptions to Disclose</w:t>
      </w:r>
    </w:p>
    <w:p>
      <w:pPr>
        <w:pStyle w:val="ListParagraph"/>
        <w:numPr>
          <w:ilvl w:val="0"/>
          <w:numId w:val="2"/>
        </w:numPr>
        <w:spacing w:before="0" w:after="80"/>
      </w:pPr>
      <w:r>
        <w:rPr>
          <w:rFonts w:ascii="Arial" w:cs="Arial" w:eastAsia="Arial" w:hAnsi="Arial"/>
          <w:b/>
          <w:bCs/>
          <w:color w:val="1B2A4A"/>
          <w:sz w:val="22"/>
          <w:szCs w:val="22"/>
        </w:rPr>
        <w:t xml:space="preserve">Synthetic data: </w:t>
      </w:r>
      <w:r>
        <w:rPr>
          <w:rFonts w:ascii="Arial" w:cs="Arial" w:eastAsia="Arial" w:hAnsi="Arial"/>
          <w:color w:val="333333"/>
          <w:sz w:val="22"/>
          <w:szCs w:val="22"/>
        </w:rPr>
        <w:t xml:space="preserve">100K policies generated with Iman-Conover rank correlation, state-conditional peril distributions, and calibrated DGP scalars. Claim rate (5.4%), mean severity (~$39K), and credit suppression for CA/MA are realistic but not derived from any carrier’s actual experience.</w:t>
      </w:r>
    </w:p>
    <w:p>
      <w:pPr>
        <w:pStyle w:val="ListParagraph"/>
        <w:numPr>
          <w:ilvl w:val="0"/>
          <w:numId w:val="2"/>
        </w:numPr>
        <w:spacing w:before="0" w:after="80"/>
      </w:pPr>
      <w:r>
        <w:rPr>
          <w:rFonts w:ascii="Arial" w:cs="Arial" w:eastAsia="Arial" w:hAnsi="Arial"/>
          <w:b/>
          <w:bCs/>
          <w:color w:val="1B2A4A"/>
          <w:sz w:val="22"/>
          <w:szCs w:val="22"/>
        </w:rPr>
        <w:t xml:space="preserve">DGP variance budget: </w:t>
      </w:r>
      <w:r>
        <w:rPr>
          <w:rFonts w:ascii="Arial" w:cs="Arial" w:eastAsia="Arial" w:hAnsi="Arial"/>
          <w:color w:val="333333"/>
          <w:sz w:val="22"/>
          <w:szCs w:val="22"/>
        </w:rPr>
        <w:t xml:space="preserve">Legacy signal (0.32 std), modern signal (0.20 std), and noise (0.25 std) are chosen to produce a GLM R² in the 0.55–0.65 industry range and a ΔR² of 0.07–0.14. The relative signal strengths drive the narrative.</w:t>
      </w:r>
    </w:p>
    <w:p>
      <w:pPr>
        <w:pStyle w:val="ListParagraph"/>
        <w:numPr>
          <w:ilvl w:val="0"/>
          <w:numId w:val="2"/>
        </w:numPr>
        <w:spacing w:before="0" w:after="80"/>
      </w:pPr>
      <w:r>
        <w:rPr>
          <w:rFonts w:ascii="Arial" w:cs="Arial" w:eastAsia="Arial" w:hAnsi="Arial"/>
          <w:b/>
          <w:bCs/>
          <w:color w:val="1B2A4A"/>
          <w:sz w:val="22"/>
          <w:szCs w:val="22"/>
        </w:rPr>
        <w:t xml:space="preserve">EBM interaction discovery: </w:t>
      </w:r>
      <w:r>
        <w:rPr>
          <w:rFonts w:ascii="Arial" w:cs="Arial" w:eastAsia="Arial" w:hAnsi="Arial"/>
          <w:color w:val="333333"/>
          <w:sz w:val="22"/>
          <w:szCs w:val="22"/>
        </w:rPr>
        <w:t xml:space="preserve">The demo specifies 6 forced interactions + 9 auto-discovered. Due to InterpretML version constraints, all 15 are currently auto-discovered. The EBM finds the most predictive pairs regardless of the configuration method; the forced list serves as a narrative anchor, not a hard constraint.</w:t>
      </w:r>
    </w:p>
    <w:p>
      <w:pPr>
        <w:pStyle w:val="ListParagraph"/>
        <w:numPr>
          <w:ilvl w:val="0"/>
          <w:numId w:val="2"/>
        </w:numPr>
        <w:spacing w:before="0" w:after="80"/>
      </w:pPr>
      <w:r>
        <w:rPr>
          <w:rFonts w:ascii="Arial" w:cs="Arial" w:eastAsia="Arial" w:hAnsi="Arial"/>
          <w:b/>
          <w:bCs/>
          <w:color w:val="1B2A4A"/>
          <w:sz w:val="22"/>
          <w:szCs w:val="22"/>
        </w:rPr>
        <w:t xml:space="preserve">Corridor asymmetry: </w:t>
      </w:r>
      <w:r>
        <w:rPr>
          <w:rFonts w:ascii="Arial" w:cs="Arial" w:eastAsia="Arial" w:hAnsi="Arial"/>
          <w:color w:val="333333"/>
          <w:sz w:val="22"/>
          <w:szCs w:val="22"/>
        </w:rPr>
        <w:t xml:space="preserve">[0.65×, 1.60×] is a design choice reflecting the actuarial principle that underpriced risks pose greater adverse selection danger than overpriced ones. Production deployment would calibrate these bounds to the carrier’s risk tolerance.</w:t>
      </w:r>
    </w:p>
    <w:p>
      <w:pPr>
        <w:pStyle w:val="ListParagraph"/>
        <w:numPr>
          <w:ilvl w:val="0"/>
          <w:numId w:val="2"/>
        </w:numPr>
        <w:spacing w:before="0" w:after="80"/>
      </w:pPr>
      <w:r>
        <w:rPr>
          <w:rFonts w:ascii="Arial" w:cs="Arial" w:eastAsia="Arial" w:hAnsi="Arial"/>
          <w:b/>
          <w:bCs/>
          <w:color w:val="1B2A4A"/>
          <w:sz w:val="22"/>
          <w:szCs w:val="22"/>
        </w:rPr>
        <w:t xml:space="preserve">Risk neutrality: </w:t>
      </w:r>
      <w:r>
        <w:rPr>
          <w:rFonts w:ascii="Arial" w:cs="Arial" w:eastAsia="Arial" w:hAnsi="Arial"/>
          <w:color w:val="333333"/>
          <w:sz w:val="22"/>
          <w:szCs w:val="22"/>
        </w:rPr>
        <w:t xml:space="preserve">Enforced by GLM-premium-weighted normalization. In production, this would be validated at state/line/program level, not just book level.</w:t>
      </w:r>
    </w:p>
    <w:p>
      <w:pPr>
        <w:pStyle w:val="Heading2"/>
        <w:spacing w:before="360" w:after="200"/>
      </w:pPr>
      <w:r>
        <w:t xml:space="preserve">Suggested Next Steps</w:t>
      </w:r>
    </w:p>
    <w:p>
      <w:pPr>
        <w:pStyle w:val="ListParagraph"/>
        <w:numPr>
          <w:ilvl w:val="0"/>
          <w:numId w:val="2"/>
        </w:numPr>
        <w:spacing w:before="0" w:after="80"/>
      </w:pPr>
      <w:r>
        <w:rPr>
          <w:rFonts w:ascii="Arial" w:cs="Arial" w:eastAsia="Arial" w:hAnsi="Arial"/>
          <w:b/>
          <w:bCs/>
          <w:color w:val="1B2A4A"/>
          <w:sz w:val="22"/>
          <w:szCs w:val="22"/>
        </w:rPr>
        <w:t xml:space="preserve">Proof-of-Concept: </w:t>
      </w:r>
      <w:r>
        <w:rPr>
          <w:rFonts w:ascii="Arial" w:cs="Arial" w:eastAsia="Arial" w:hAnsi="Arial"/>
          <w:color w:val="333333"/>
          <w:sz w:val="22"/>
          <w:szCs w:val="22"/>
        </w:rPr>
        <w:t xml:space="preserve">Scope a 6–8 week engagement on actual carrier data. Minimum viable dataset: 2–3 years of policy/claim transactions with geocoded property attributes.</w:t>
      </w:r>
    </w:p>
    <w:p>
      <w:pPr>
        <w:pStyle w:val="ListParagraph"/>
        <w:numPr>
          <w:ilvl w:val="0"/>
          <w:numId w:val="2"/>
        </w:numPr>
        <w:spacing w:before="0" w:after="80"/>
      </w:pPr>
      <w:r>
        <w:rPr>
          <w:rFonts w:ascii="Arial" w:cs="Arial" w:eastAsia="Arial" w:hAnsi="Arial"/>
          <w:b/>
          <w:bCs/>
          <w:color w:val="1B2A4A"/>
          <w:sz w:val="22"/>
          <w:szCs w:val="22"/>
        </w:rPr>
        <w:t xml:space="preserve">Regulatory Readiness: </w:t>
      </w:r>
      <w:r>
        <w:rPr>
          <w:rFonts w:ascii="Arial" w:cs="Arial" w:eastAsia="Arial" w:hAnsi="Arial"/>
          <w:color w:val="333333"/>
          <w:sz w:val="22"/>
          <w:szCs w:val="22"/>
        </w:rPr>
        <w:t xml:space="preserve">Parallel workstream with carrier actuarial team to draft state-specific rate filing language for the GA2M layer.</w:t>
      </w:r>
    </w:p>
    <w:p>
      <w:pPr>
        <w:pStyle w:val="ListParagraph"/>
        <w:numPr>
          <w:ilvl w:val="0"/>
          <w:numId w:val="2"/>
        </w:numPr>
        <w:spacing w:before="0" w:after="80"/>
      </w:pPr>
      <w:r>
        <w:rPr>
          <w:rFonts w:ascii="Arial" w:cs="Arial" w:eastAsia="Arial" w:hAnsi="Arial"/>
          <w:b/>
          <w:bCs/>
          <w:color w:val="1B2A4A"/>
          <w:sz w:val="22"/>
          <w:szCs w:val="22"/>
        </w:rPr>
        <w:t xml:space="preserve">Integration Assessment: </w:t>
      </w:r>
      <w:r>
        <w:rPr>
          <w:rFonts w:ascii="Arial" w:cs="Arial" w:eastAsia="Arial" w:hAnsi="Arial"/>
          <w:color w:val="333333"/>
          <w:sz w:val="22"/>
          <w:szCs w:val="22"/>
        </w:rPr>
        <w:t xml:space="preserve">Evaluate deployment pathway into the carrier’s existing rating engine (real-time API vs. batch scoring vs. embedded model).</w:t>
      </w:r>
    </w:p>
    <w:p>
      <w:pPr>
        <w:pBdr>
          <w:bottom w:val="single" w:color="D4A843" w:sz="4"/>
        </w:pBdr>
        <w:spacing w:before="200" w:after="200"/>
      </w:pPr>
    </w:p>
    <w:p>
      <w:pPr>
        <w:spacing w:before="0" w:after="120"/>
      </w:pPr>
    </w:p>
    <w:p>
      <w:pPr>
        <w:spacing w:before="0" w:after="120"/>
      </w:pPr>
      <w:r>
        <w:rPr>
          <w:rFonts w:ascii="Arial" w:cs="Arial" w:eastAsia="Arial" w:hAnsi="Arial"/>
          <w:i/>
          <w:iCs/>
          <w:color w:val="8D9EAD"/>
          <w:sz w:val="20"/>
          <w:szCs w:val="20"/>
        </w:rPr>
        <w:t xml:space="preserve">© 2026 ValueMomentum Insurance Technology. Confidential. All metrics in this document are derived from synthetic demonstration data and do not represent any specific carrier’s actual portfolio performance.</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843" w:sz="2"/>
      </w:pBdr>
      <w:tabs>
        <w:tab w:val="right" w:pos="9026"/>
      </w:tabs>
      <w:spacing w:before="80"/>
    </w:pPr>
    <w:r>
      <w:rPr>
        <w:rFonts w:ascii="Arial" w:cs="Arial" w:eastAsia="Arial" w:hAnsi="Arial"/>
        <w:color w:val="8D9EAD"/>
        <w:sz w:val="16"/>
        <w:szCs w:val="16"/>
      </w:rPr>
      <w:t xml:space="preserve">ValueMomentum · Confidential</w:t>
    </w:r>
    <w:r>
      <w:rPr>
        <w:rFonts w:ascii="Arial" w:cs="Arial" w:eastAsia="Arial" w:hAnsi="Arial"/>
        <w:sz w:val="16"/>
        <w:szCs w:val="16"/>
      </w:rPr>
      <w:t xml:space="preserve">	</w:t>
    </w:r>
    <w:r>
      <w:rPr>
        <w:rFonts w:ascii="Arial" w:cs="Arial" w:eastAsia="Arial" w:hAnsi="Arial"/>
        <w:color w:val="8D9EAD"/>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D9EAD"/>
        <w:sz w:val="16"/>
        <w:szCs w:val="16"/>
      </w:rPr>
      <w:t xml:space="preserve">Homeowners Intelligence Layer — Demo Narrative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2026-03-15T15:14:08.624Z</dcterms:created>
  <dcterms:modified xsi:type="dcterms:W3CDTF">2026-03-15T15:14:08.625Z</dcterms:modified>
</cp:coreProperties>
</file>

<file path=docProps/custom.xml><?xml version="1.0" encoding="utf-8"?>
<Properties xmlns="http://schemas.openxmlformats.org/officeDocument/2006/custom-properties" xmlns:vt="http://schemas.openxmlformats.org/officeDocument/2006/docPropsVTypes"/>
</file>