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spacing w:before="0" w:after="80"/>
        <w:jc w:val="center"/>
      </w:pPr>
      <w:r>
        <w:rPr>
          <w:rFonts w:ascii="Arial" w:cs="Arial" w:eastAsia="Arial" w:hAnsi="Arial"/>
          <w:b/>
          <w:bCs/>
          <w:color w:val="1B2A4A"/>
          <w:sz w:val="44"/>
          <w:szCs w:val="44"/>
        </w:rPr>
        <w:t xml:space="preserve">Homeowners Intelligence Layer</w:t>
      </w:r>
    </w:p>
    <w:p>
      <w:pPr>
        <w:spacing w:before="0" w:after="200"/>
        <w:jc w:val="center"/>
      </w:pPr>
      <w:r>
        <w:rPr>
          <w:rFonts w:ascii="Arial" w:cs="Arial" w:eastAsia="Arial" w:hAnsi="Arial"/>
          <w:color w:val="8D9EAD"/>
          <w:sz w:val="28"/>
          <w:szCs w:val="28"/>
        </w:rPr>
        <w:t xml:space="preserve">Technical &amp; Business Reference Manual</w:t>
      </w:r>
    </w:p>
    <w:p>
      <w:pPr>
        <w:pBdr>
          <w:top w:val="single" w:color="D4A843" w:sz="4"/>
        </w:pBdr>
        <w:spacing w:before="0" w:after="40"/>
        <w:jc w:val="center"/>
      </w:pPr>
      <w:r>
        <w:rPr>
          <w:rFonts w:ascii="Arial" w:cs="Arial" w:eastAsia="Arial" w:hAnsi="Arial"/>
          <w:color w:val="1B2A4A"/>
          <w:sz w:val="22"/>
          <w:szCs w:val="22"/>
        </w:rPr>
        <w:t xml:space="preserve">GLM + GA2M Residual Architecture  ·  Business Development Demo</w:t>
      </w:r>
    </w:p>
    <w:p>
      <w:pPr>
        <w:spacing w:before="40" w:after="40"/>
        <w:jc w:val="center"/>
      </w:pPr>
      <w:r>
        <w:rPr>
          <w:rFonts w:ascii="Arial" w:cs="Arial" w:eastAsia="Arial" w:hAnsi="Arial"/>
          <w:color w:val="8D9EAD"/>
          <w:sz w:val="20"/>
          <w:szCs w:val="20"/>
        </w:rPr>
        <w:t xml:space="preserve">100,000 Synthetic US Homeowners Policies  ·  10-State Geography</w:t>
      </w:r>
    </w:p>
    <w:p>
      <w:pPr>
        <w:spacing w:before="40" w:after="40"/>
        <w:jc w:val="center"/>
      </w:pPr>
      <w:r>
        <w:rPr>
          <w:rFonts w:ascii="Arial" w:cs="Arial" w:eastAsia="Arial" w:hAnsi="Arial"/>
          <w:color w:val="8D9EAD"/>
          <w:sz w:val="20"/>
          <w:szCs w:val="20"/>
        </w:rPr>
        <w:t xml:space="preserve">March 2026  ·  Confidential</w:t>
      </w:r>
    </w:p>
    <w:p>
      <w:pPr>
        <w:jc w:val="center"/>
      </w:pPr>
      <w:r>
        <w:rPr>
          <w:rFonts w:ascii="Arial" w:cs="Arial" w:eastAsia="Arial" w:hAnsi="Arial"/>
          <w:i/>
          <w:iCs/>
          <w:color w:val="8D9EAD"/>
          <w:sz w:val="20"/>
          <w:szCs w:val="20"/>
        </w:rPr>
        <w:t xml:space="preserve">For internal stakeholders and carrier prospect audiences</w:t>
      </w:r>
    </w:p>
    <w:p>
      <w:r>
        <w:br w:type="page"/>
      </w:r>
    </w:p>
    <w:p>
      <w:pPr>
        <w:pStyle w:val="Heading1"/>
        <w:spacing w:before="400" w:after="200"/>
      </w:pPr>
      <w:r>
        <w:t xml:space="preserve">1. Executive Summary</w:t>
      </w:r>
    </w:p>
    <w:p>
      <w:pPr>
        <w:spacing w:before="0" w:after="100"/>
      </w:pPr>
      <w:r>
        <w:rPr>
          <w:rFonts w:ascii="Arial" w:cs="Arial" w:eastAsia="Arial" w:hAnsi="Arial"/>
          <w:color w:val="333333"/>
          <w:sz w:val="22"/>
          <w:szCs w:val="22"/>
        </w:rPr>
        <w:t xml:space="preserve">The Homeowners Intelligence Layer is a two-layer risk scoring engine designed to demonstrate how a glass-box intelligence layer captures pricing signal that traditional GLMs structurally cannot represent—non-linear feature effects, compounding pairwise interactions, and temporal risk decay patterns.</w:t>
      </w:r>
    </w:p>
    <w:p>
      <w:pPr>
        <w:spacing w:before="0" w:after="100"/>
      </w:pPr>
      <w:r>
        <w:rPr>
          <w:rFonts w:ascii="Arial" w:cs="Arial" w:eastAsia="Arial" w:hAnsi="Arial"/>
          <w:color w:val="333333"/>
          <w:sz w:val="22"/>
          <w:szCs w:val="22"/>
        </w:rPr>
        <w:t xml:space="preserve">The architecture pairs a standard-of-practice Poisson × Gamma GLM baseline (16 features, statsmodels) with a Generalized Additive Model with pairwise interactions (GA2M / EBM via InterpretML, 28 features, 15 interactions) trained on the log-scale GLM residual.</w:t>
      </w:r>
    </w:p>
    <w:p>
      <w:pPr>
        <w:spacing w:before="0" w:after="100"/>
      </w:pPr>
      <w:r>
        <w:rPr>
          <w:rFonts w:ascii="Arial" w:cs="Arial" w:eastAsia="Arial" w:hAnsi="Arial"/>
          <w:b/>
          <w:bCs/>
          <w:color w:val="1B2A4A"/>
          <w:sz w:val="22"/>
          <w:szCs w:val="22"/>
        </w:rPr>
        <w:t xml:space="preserve">Key Results (out-of-sample, N=20,000):</w:t>
      </w:r>
    </w:p>
    <w:p>
      <w:pPr>
        <w:pStyle w:val="ListParagraph"/>
        <w:numPr>
          <w:ilvl w:val="0"/>
          <w:numId w:val="2"/>
        </w:numPr>
        <w:spacing w:before="0" w:after="60"/>
      </w:pPr>
      <w:r>
        <w:rPr>
          <w:rFonts w:ascii="Arial" w:cs="Arial" w:eastAsia="Arial" w:hAnsi="Arial"/>
          <w:b/>
          <w:bCs/>
          <w:color w:val="1B2A4A"/>
          <w:sz w:val="22"/>
          <w:szCs w:val="22"/>
        </w:rPr>
        <w:t xml:space="preserve">GLM R²: </w:t>
      </w:r>
      <w:r>
        <w:rPr>
          <w:rFonts w:ascii="Arial" w:cs="Arial" w:eastAsia="Arial" w:hAnsi="Arial"/>
          <w:color w:val="333333"/>
          <w:sz w:val="22"/>
          <w:szCs w:val="22"/>
        </w:rPr>
        <w:t xml:space="preserve">0.6635 — solidly within the typical production GLM range (0.55–0.65).</w:t>
      </w:r>
    </w:p>
    <w:p>
      <w:pPr>
        <w:pStyle w:val="ListParagraph"/>
        <w:numPr>
          <w:ilvl w:val="0"/>
          <w:numId w:val="2"/>
        </w:numPr>
        <w:spacing w:before="0" w:after="60"/>
      </w:pPr>
      <w:r>
        <w:rPr>
          <w:rFonts w:ascii="Arial" w:cs="Arial" w:eastAsia="Arial" w:hAnsi="Arial"/>
          <w:b/>
          <w:bCs/>
          <w:color w:val="1B2A4A"/>
          <w:sz w:val="22"/>
          <w:szCs w:val="22"/>
        </w:rPr>
        <w:t xml:space="preserve">Combined R²: </w:t>
      </w:r>
      <w:r>
        <w:rPr>
          <w:rFonts w:ascii="Arial" w:cs="Arial" w:eastAsia="Arial" w:hAnsi="Arial"/>
          <w:color w:val="333333"/>
          <w:sz w:val="22"/>
          <w:szCs w:val="22"/>
        </w:rPr>
        <w:t xml:space="preserve">0.8028 — after GA2M intelligence layer.</w:t>
      </w:r>
    </w:p>
    <w:p>
      <w:pPr>
        <w:pStyle w:val="ListParagraph"/>
        <w:numPr>
          <w:ilvl w:val="0"/>
          <w:numId w:val="2"/>
        </w:numPr>
        <w:spacing w:before="0" w:after="60"/>
      </w:pPr>
      <w:r>
        <w:rPr>
          <w:rFonts w:ascii="Arial" w:cs="Arial" w:eastAsia="Arial" w:hAnsi="Arial"/>
          <w:b/>
          <w:bCs/>
          <w:color w:val="1B2A4A"/>
          <w:sz w:val="22"/>
          <w:szCs w:val="22"/>
        </w:rPr>
        <w:t xml:space="preserve">Incremental ΔR²: </w:t>
      </w:r>
      <w:r>
        <w:rPr>
          <w:rFonts w:ascii="Arial" w:cs="Arial" w:eastAsia="Arial" w:hAnsi="Arial"/>
          <w:color w:val="333333"/>
          <w:sz w:val="22"/>
          <w:szCs w:val="22"/>
        </w:rPr>
        <w:t xml:space="preserve">+0.1393 — recovering 41.4% of the GLM’s unexplained variance.</w:t>
      </w:r>
    </w:p>
    <w:p>
      <w:pPr>
        <w:pStyle w:val="ListParagraph"/>
        <w:numPr>
          <w:ilvl w:val="0"/>
          <w:numId w:val="2"/>
        </w:numPr>
        <w:spacing w:before="0" w:after="60"/>
      </w:pPr>
      <w:r>
        <w:rPr>
          <w:rFonts w:ascii="Arial" w:cs="Arial" w:eastAsia="Arial" w:hAnsi="Arial"/>
          <w:b/>
          <w:bCs/>
          <w:color w:val="1B2A4A"/>
          <w:sz w:val="22"/>
          <w:szCs w:val="22"/>
        </w:rPr>
        <w:t xml:space="preserve">Risk neutrality: </w:t>
      </w:r>
      <w:r>
        <w:rPr>
          <w:rFonts w:ascii="Arial" w:cs="Arial" w:eastAsia="Arial" w:hAnsi="Arial"/>
          <w:color w:val="333333"/>
          <w:sz w:val="22"/>
          <w:szCs w:val="22"/>
        </w:rPr>
        <w:t xml:space="preserve">E_w[uplift] = 1.000000× — total book premium unchanged to machine precision.</w:t>
      </w:r>
    </w:p>
    <w:p>
      <w:pPr>
        <w:pStyle w:val="ListParagraph"/>
        <w:numPr>
          <w:ilvl w:val="0"/>
          <w:numId w:val="2"/>
        </w:numPr>
        <w:spacing w:before="0" w:after="60"/>
      </w:pPr>
      <w:r>
        <w:rPr>
          <w:rFonts w:ascii="Arial" w:cs="Arial" w:eastAsia="Arial" w:hAnsi="Arial"/>
          <w:b/>
          <w:bCs/>
          <w:color w:val="1B2A4A"/>
          <w:sz w:val="22"/>
          <w:szCs w:val="22"/>
        </w:rPr>
        <w:t xml:space="preserve">Premium redistribution: </w:t>
      </w:r>
      <w:r>
        <w:rPr>
          <w:rFonts w:ascii="Arial" w:cs="Arial" w:eastAsia="Arial" w:hAnsi="Arial"/>
          <w:color w:val="333333"/>
          <w:sz w:val="22"/>
          <w:szCs w:val="22"/>
        </w:rPr>
        <w:t xml:space="preserve">$16M in surcharges across 42K underpriced policies, offset by $16M in credits across 58K overpriced policies. Net = $0.</w:t>
      </w:r>
    </w:p>
    <w:p>
      <w:pPr>
        <w:pStyle w:val="ListParagraph"/>
        <w:numPr>
          <w:ilvl w:val="0"/>
          <w:numId w:val="2"/>
        </w:numPr>
        <w:spacing w:before="0" w:after="60"/>
      </w:pPr>
      <w:r>
        <w:rPr>
          <w:rFonts w:ascii="Arial" w:cs="Arial" w:eastAsia="Arial" w:hAnsi="Arial"/>
          <w:b/>
          <w:bCs/>
          <w:color w:val="1B2A4A"/>
          <w:sz w:val="22"/>
          <w:szCs w:val="22"/>
        </w:rPr>
        <w:t xml:space="preserve">Adverse selection: </w:t>
      </w:r>
      <w:r>
        <w:rPr>
          <w:rFonts w:ascii="Arial" w:cs="Arial" w:eastAsia="Arial" w:hAnsi="Arial"/>
          <w:color w:val="333333"/>
          <w:sz w:val="22"/>
          <w:szCs w:val="22"/>
        </w:rPr>
        <w:t xml:space="preserve">17.3% of policies underpriced by &gt;20%, with average leakage of $1,173/policy.</w:t>
      </w:r>
    </w:p>
    <w:p>
      <w:pPr>
        <w:spacing w:before="0" w:after="100"/>
      </w:pPr>
      <w:r>
        <w:rPr>
          <w:rFonts w:ascii="Arial" w:cs="Arial" w:eastAsia="Arial" w:hAnsi="Arial"/>
          <w:color w:val="333333"/>
          <w:sz w:val="22"/>
          <w:szCs w:val="22"/>
        </w:rPr>
        <w:t xml:space="preserve">The demo operates on 100,000 synthetic homeowners policies across 10 US states, generated with realistic inter-feature correlations, state-conditional peril distributions, and calibrated variance budgets. It is delivered as an interactive Dash web application with four tabs: Business Case, Intelligence Signals, Policy Lens, and Framework.</w:t>
      </w:r>
    </w:p>
    <w:p>
      <w:r>
        <w:br w:type="page"/>
      </w:r>
    </w:p>
    <w:p>
      <w:pPr>
        <w:pStyle w:val="Heading1"/>
        <w:spacing w:before="400" w:after="200"/>
      </w:pPr>
      <w:r>
        <w:t xml:space="preserve">2. The Problem: Why Legacy GLMs Hit a Structural Ceiling</w:t>
      </w:r>
    </w:p>
    <w:p>
      <w:pPr>
        <w:spacing w:before="0" w:after="100"/>
      </w:pPr>
      <w:r>
        <w:rPr>
          <w:rFonts w:ascii="Arial" w:cs="Arial" w:eastAsia="Arial" w:hAnsi="Arial"/>
          <w:color w:val="333333"/>
          <w:sz w:val="22"/>
          <w:szCs w:val="22"/>
        </w:rPr>
        <w:t xml:space="preserve">The Poisson × Gamma GLM with log link has been the standard homeowners pricing model for decades. It produces multiplicative rating factors that regulators understand, actuaries can audit, and rating engines can deploy. But the log-linear structure imposes three architectural constraints that limit its predictive power regardless of variable selection or data quality.</w:t>
      </w:r>
    </w:p>
    <w:p>
      <w:pPr>
        <w:pStyle w:val="Heading2"/>
        <w:spacing w:before="300" w:after="160"/>
      </w:pPr>
      <w:r>
        <w:t xml:space="preserve">2.1 The Linearity Constraint</w:t>
      </w:r>
    </w:p>
    <w:p>
      <w:pPr>
        <w:spacing w:before="0" w:after="100"/>
      </w:pPr>
      <w:r>
        <w:rPr>
          <w:rFonts w:ascii="Arial" w:cs="Arial" w:eastAsia="Arial" w:hAnsi="Arial"/>
          <w:color w:val="333333"/>
          <w:sz w:val="22"/>
          <w:szCs w:val="22"/>
        </w:rPr>
        <w:t xml:space="preserve">The log-link forces every feature effect to be linear in log-premium space. In reality, many homeowners risk relationships are non-linear. Wildfire exposure risk is convex—flat below index 30, accelerating sharply above 50, reaching +160% GLM error at the extreme. Roof vulnerability follows a quadratic pattern. Building code compliance has a threshold cliff at 60%. The GLM draws a single slope through each of these curves and gets none of them right.</w:t>
      </w:r>
    </w:p>
    <w:p>
      <w:pPr>
        <w:pStyle w:val="Heading2"/>
        <w:spacing w:before="300" w:after="160"/>
      </w:pPr>
      <w:r>
        <w:t xml:space="preserve">2.2 The Additive Structure</w:t>
      </w:r>
    </w:p>
    <w:p>
      <w:pPr>
        <w:spacing w:before="0" w:after="100"/>
      </w:pPr>
      <w:r>
        <w:rPr>
          <w:rFonts w:ascii="Arial" w:cs="Arial" w:eastAsia="Arial" w:hAnsi="Arial"/>
          <w:color w:val="333333"/>
          <w:sz w:val="22"/>
          <w:szCs w:val="22"/>
        </w:rPr>
        <w:t xml:space="preserve">GLM rating factors multiply independently. When a property has both high wildfire exposure and a deteriorated roof, the GLM prices each factor separately and multiplies them. But the actual risk is super-multiplicative—the interaction of these two factors creates a compounding risk profile that the GLM’s additive structure cannot capture. The Wildfire × Roof Vulnerability interaction surface shows surcharges up to 60% in the compound-risk zone.</w:t>
      </w:r>
    </w:p>
    <w:p>
      <w:pPr>
        <w:pStyle w:val="Heading2"/>
        <w:spacing w:before="300" w:after="160"/>
      </w:pPr>
      <w:r>
        <w:t xml:space="preserve">2.3 The Static Variable Limitation</w:t>
      </w:r>
    </w:p>
    <w:p>
      <w:pPr>
        <w:spacing w:before="0" w:after="100"/>
      </w:pPr>
      <w:r>
        <w:rPr>
          <w:rFonts w:ascii="Arial" w:cs="Arial" w:eastAsia="Arial" w:hAnsi="Arial"/>
          <w:color w:val="333333"/>
          <w:sz w:val="22"/>
          <w:szCs w:val="22"/>
        </w:rPr>
        <w:t xml:space="preserve">Temporal risk signals—water loss recency, daily wildfire indices, satellite-derived roof condition updates—enter the GLM only as coarse annual snapshots or static buckets, destroying the temporal signal that drives actual claim patterns.</w:t>
      </w:r>
    </w:p>
    <w:p>
      <w:pPr>
        <w:spacing w:before="0" w:after="100"/>
      </w:pPr>
      <w:r>
        <w:rPr>
          <w:rFonts w:ascii="Arial" w:cs="Arial" w:eastAsia="Arial" w:hAnsi="Arial"/>
          <w:color w:val="333333"/>
          <w:sz w:val="22"/>
          <w:szCs w:val="22"/>
        </w:rPr>
        <w:t xml:space="preserve">The net effect: approximately </w:t>
      </w:r>
      <w:r>
        <w:rPr>
          <w:rFonts w:ascii="Arial" w:cs="Arial" w:eastAsia="Arial" w:hAnsi="Arial"/>
          <w:b/>
          <w:bCs/>
          <w:color w:val="E63946"/>
          <w:sz w:val="22"/>
          <w:szCs w:val="22"/>
        </w:rPr>
        <w:t xml:space="preserve">33.6% of pure premium variance</w:t>
      </w:r>
      <w:r>
        <w:rPr>
          <w:rFonts w:ascii="Arial" w:cs="Arial" w:eastAsia="Arial" w:hAnsi="Arial"/>
          <w:color w:val="333333"/>
          <w:sz w:val="22"/>
          <w:szCs w:val="22"/>
        </w:rPr>
        <w:t xml:space="preserve"> remains structurally unexplained by the GLM on out-of-sample data—the addressable residual that the intelligence layer targets.</w:t>
      </w:r>
    </w:p>
    <w:p>
      <w:r>
        <w:br w:type="page"/>
      </w:r>
    </w:p>
    <w:p>
      <w:pPr>
        <w:pStyle w:val="Heading1"/>
        <w:spacing w:before="400" w:after="200"/>
      </w:pPr>
      <w:r>
        <w:t xml:space="preserve">3. The Solution: Two-Layer Pricing Architecture</w:t>
      </w:r>
    </w:p>
    <w:p>
      <w:pPr>
        <w:spacing w:before="0" w:after="100"/>
      </w:pPr>
      <w:r>
        <w:rPr>
          <w:rFonts w:ascii="Arial" w:cs="Arial" w:eastAsia="Arial" w:hAnsi="Arial"/>
          <w:color w:val="333333"/>
          <w:sz w:val="22"/>
          <w:szCs w:val="22"/>
        </w:rPr>
        <w:t xml:space="preserve">The intelligence layer does not replace the carrier’s GLM—it augments it. The architecture follows the established “GLM Improver” pattern: the GLM handles linear exposure relativities in the language regulators accept, and the GA2M captures everything the GLM structurally cannot.</w:t>
      </w:r>
    </w:p>
    <w:p>
      <w:pPr>
        <w:pStyle w:val="Heading2"/>
        <w:spacing w:before="300" w:after="160"/>
      </w:pPr>
      <w:r>
        <w:t xml:space="preserve">3.1 Layer 1: Baseline GLM (Poisson × Gamma)</w:t>
      </w:r>
    </w:p>
    <w:p>
      <w:pPr>
        <w:spacing w:before="0" w:after="100"/>
      </w:pPr>
      <w:r>
        <w:rPr>
          <w:rFonts w:ascii="Arial" w:cs="Arial" w:eastAsia="Arial" w:hAnsi="Arial"/>
          <w:color w:val="333333"/>
          <w:sz w:val="22"/>
          <w:szCs w:val="22"/>
        </w:rPr>
        <w:t xml:space="preserve">The baseline is a standard Poisson frequency × Gamma severity GLM trained with statsmodels for full actuarial diagnostics (deviance, AIC, BIC, coefficient p-values, significance stars). 16 features: 12 main effects + 4 engineered interactions. AOI-based exposure offset.</w:t>
      </w:r>
    </w:p>
    <w:p>
      <w:pPr>
        <w:shd w:fill="F0F4FA" w:val="clear"/>
        <w:spacing w:before="60" w:after="60"/>
        <w:ind w:left="240" w:right="240"/>
      </w:pPr>
      <w:r>
        <w:rPr>
          <w:rFonts w:ascii="Courier New" w:cs="Courier New" w:eastAsia="Courier New" w:hAnsi="Courier New"/>
          <w:color w:val="1B2A4A"/>
          <w:sz w:val="20"/>
          <w:szCs w:val="20"/>
        </w:rPr>
        <w:t xml:space="preserve">log E[Freqᵢ] = β₀ + β₁x₁ + ... + βₖxₖ + log(AOI / 100K)</w:t>
      </w:r>
    </w:p>
    <w:p>
      <w:pPr>
        <w:shd w:fill="F0F4FA" w:val="clear"/>
        <w:spacing w:before="60" w:after="60"/>
        <w:ind w:left="240" w:right="240"/>
      </w:pPr>
      <w:r>
        <w:rPr>
          <w:rFonts w:ascii="Courier New" w:cs="Courier New" w:eastAsia="Courier New" w:hAnsi="Courier New"/>
          <w:color w:val="1B2A4A"/>
          <w:sz w:val="20"/>
          <w:szCs w:val="20"/>
        </w:rPr>
        <w:t xml:space="preserve">log E[Sevᵢ]  = γ₀ + γ₁x₁ + ... + γₖxₖ</w:t>
      </w:r>
    </w:p>
    <w:p>
      <w:pPr>
        <w:shd w:fill="F0F4FA" w:val="clear"/>
        <w:spacing w:before="60" w:after="60"/>
        <w:ind w:left="240" w:right="240"/>
      </w:pPr>
      <w:r>
        <w:rPr>
          <w:rFonts w:ascii="Courier New" w:cs="Courier New" w:eastAsia="Courier New" w:hAnsi="Courier New"/>
          <w:color w:val="1B2A4A"/>
          <w:sz w:val="20"/>
          <w:szCs w:val="20"/>
        </w:rPr>
        <w:t xml:space="preserve">GLM PPᵢ = Freqᵢ × Sevᵢ</w:t>
      </w:r>
    </w:p>
    <w:p>
      <w:pPr>
        <w:pStyle w:val="Heading2"/>
        <w:spacing w:before="300" w:after="160"/>
      </w:pPr>
      <w:r>
        <w:t xml:space="preserve">3.2 Layer 2: GA2M Residual Intelligence (EBM)</w:t>
      </w:r>
    </w:p>
    <w:p>
      <w:pPr>
        <w:spacing w:before="0" w:after="100"/>
      </w:pPr>
      <w:r>
        <w:rPr>
          <w:rFonts w:ascii="Arial" w:cs="Arial" w:eastAsia="Arial" w:hAnsi="Arial"/>
          <w:color w:val="333333"/>
          <w:sz w:val="22"/>
          <w:szCs w:val="22"/>
        </w:rPr>
        <w:t xml:space="preserve">The intelligence layer trains an Explainable Boosting Machine (EBM)—a GA2M—on the log-scale GLM residual:</w:t>
      </w:r>
    </w:p>
    <w:p>
      <w:pPr>
        <w:shd w:fill="F0F4FA" w:val="clear"/>
        <w:spacing w:before="60" w:after="60"/>
        <w:ind w:left="240" w:right="240"/>
      </w:pPr>
      <w:r>
        <w:rPr>
          <w:rFonts w:ascii="Courier New" w:cs="Courier New" w:eastAsia="Courier New" w:hAnsi="Courier New"/>
          <w:color w:val="1B2A4A"/>
          <w:sz w:val="20"/>
          <w:szCs w:val="20"/>
        </w:rPr>
        <w:t xml:space="preserve">εᵢ = log(True PPᵢ) − log(GLM PPᵢ)</w:t>
      </w:r>
    </w:p>
    <w:p>
      <w:pPr>
        <w:spacing w:before="0" w:after="100"/>
      </w:pPr>
      <w:r>
        <w:rPr>
          <w:rFonts w:ascii="Arial" w:cs="Arial" w:eastAsia="Arial" w:hAnsi="Arial"/>
          <w:color w:val="333333"/>
          <w:sz w:val="22"/>
          <w:szCs w:val="22"/>
        </w:rPr>
        <w:t xml:space="preserve">This log-scale target ensures the GA2M learns a multiplicative uplift factor, preserving the actuarial convention of relativities.</w:t>
      </w:r>
    </w:p>
    <w:p>
      <w:pPr>
        <w:shd w:fill="F0F4FA" w:val="clear"/>
        <w:spacing w:before="60" w:after="60"/>
        <w:ind w:left="240" w:right="240"/>
      </w:pPr>
      <w:r>
        <w:rPr>
          <w:rFonts w:ascii="Courier New" w:cs="Courier New" w:eastAsia="Courier New" w:hAnsi="Courier New"/>
          <w:color w:val="1B2A4A"/>
          <w:sz w:val="20"/>
          <w:szCs w:val="20"/>
        </w:rPr>
        <w:t xml:space="preserve">g(εᵢ) = β₀ + Σⱼ fⱼ(xⱼ) + Σⱼ&lt;ₗ fⱼₗ(xⱼ, xₗ)</w:t>
      </w:r>
    </w:p>
    <w:p>
      <w:pPr>
        <w:spacing w:before="0" w:after="100"/>
      </w:pPr>
      <w:r>
        <w:rPr>
          <w:rFonts w:ascii="Arial" w:cs="Arial" w:eastAsia="Arial" w:hAnsi="Arial"/>
          <w:color w:val="333333"/>
          <w:sz w:val="22"/>
          <w:szCs w:val="22"/>
        </w:rPr>
        <w:t xml:space="preserve">The final premium applies a bounded corridor and risk-neutrality normalization:</w:t>
      </w:r>
    </w:p>
    <w:p>
      <w:pPr>
        <w:shd w:fill="F0F4FA" w:val="clear"/>
        <w:spacing w:before="60" w:after="60"/>
        <w:ind w:left="240" w:right="240"/>
      </w:pPr>
      <w:r>
        <w:rPr>
          <w:rFonts w:ascii="Courier New" w:cs="Courier New" w:eastAsia="Courier New" w:hAnsi="Courier New"/>
          <w:color w:val="1B2A4A"/>
          <w:sz w:val="20"/>
          <w:szCs w:val="20"/>
        </w:rPr>
        <w:t xml:space="preserve">Final PPᵢ = GLM PPᵢ × exp( clip(ĝᵢ, log(0.65), log(1.60)) ) / Z</w:t>
      </w:r>
    </w:p>
    <w:p>
      <w:pPr>
        <w:spacing w:before="0" w:after="100"/>
      </w:pPr>
      <w:r>
        <w:rPr>
          <w:rFonts w:ascii="Arial" w:cs="Arial" w:eastAsia="Arial" w:hAnsi="Arial"/>
          <w:color w:val="333333"/>
          <w:sz w:val="22"/>
          <w:szCs w:val="22"/>
        </w:rPr>
        <w:t xml:space="preserve">where Z is a normalization constant ensuring the GLM-premium-weighted mean uplift equals exactly 1.0.</w:t>
      </w:r>
    </w:p>
    <w:p>
      <w:pPr>
        <w:pStyle w:val="Heading2"/>
        <w:spacing w:before="300" w:after="160"/>
      </w:pPr>
      <w:r>
        <w:t xml:space="preserve">3.3 Why GA2M Over Black-Box GBM?</w:t>
      </w:r>
    </w:p>
    <w:p>
      <w:pPr>
        <w:spacing w:before="0" w:after="100"/>
      </w:pPr>
      <w:r>
        <w:rPr>
          <w:rFonts w:ascii="Arial" w:cs="Arial" w:eastAsia="Arial" w:hAnsi="Arial"/>
          <w:color w:val="333333"/>
          <w:sz w:val="22"/>
          <w:szCs w:val="22"/>
        </w:rPr>
        <w:t xml:space="preserve">The industry-standard alternative uses GBM/XGBoost with SHAP for post-hoc explainability. The GA2M approach provides three advantages:</w:t>
      </w:r>
    </w:p>
    <w:p>
      <w:pPr>
        <w:pStyle w:val="ListParagraph"/>
        <w:numPr>
          <w:ilvl w:val="0"/>
          <w:numId w:val="2"/>
        </w:numPr>
        <w:spacing w:before="0" w:after="60"/>
      </w:pPr>
      <w:r>
        <w:rPr>
          <w:rFonts w:ascii="Arial" w:cs="Arial" w:eastAsia="Arial" w:hAnsi="Arial"/>
          <w:b/>
          <w:bCs/>
          <w:color w:val="1B2A4A"/>
          <w:sz w:val="22"/>
          <w:szCs w:val="22"/>
        </w:rPr>
        <w:t xml:space="preserve">Exact decomposition: </w:t>
      </w:r>
      <w:r>
        <w:rPr>
          <w:rFonts w:ascii="Arial" w:cs="Arial" w:eastAsia="Arial" w:hAnsi="Arial"/>
          <w:color w:val="333333"/>
          <w:sz w:val="22"/>
          <w:szCs w:val="22"/>
        </w:rPr>
        <w:t xml:space="preserve">Every prediction is the literal sum of its shape function values. No SHAP approximation error.</w:t>
      </w:r>
    </w:p>
    <w:p>
      <w:pPr>
        <w:pStyle w:val="ListParagraph"/>
        <w:numPr>
          <w:ilvl w:val="0"/>
          <w:numId w:val="2"/>
        </w:numPr>
        <w:spacing w:before="0" w:after="60"/>
      </w:pPr>
      <w:r>
        <w:rPr>
          <w:rFonts w:ascii="Arial" w:cs="Arial" w:eastAsia="Arial" w:hAnsi="Arial"/>
          <w:b/>
          <w:bCs/>
          <w:color w:val="1B2A4A"/>
          <w:sz w:val="22"/>
          <w:szCs w:val="22"/>
        </w:rPr>
        <w:t xml:space="preserve">Regulatory language: </w:t>
      </w:r>
      <w:r>
        <w:rPr>
          <w:rFonts w:ascii="Arial" w:cs="Arial" w:eastAsia="Arial" w:hAnsi="Arial"/>
          <w:color w:val="333333"/>
          <w:sz w:val="22"/>
          <w:szCs w:val="22"/>
        </w:rPr>
        <w:t xml:space="preserve">Shape functions and interaction surfaces map directly to the multiplicative relativity language regulators already accept.</w:t>
      </w:r>
    </w:p>
    <w:p>
      <w:pPr>
        <w:pStyle w:val="ListParagraph"/>
        <w:numPr>
          <w:ilvl w:val="0"/>
          <w:numId w:val="2"/>
        </w:numPr>
        <w:spacing w:before="0" w:after="60"/>
      </w:pPr>
      <w:r>
        <w:rPr>
          <w:rFonts w:ascii="Arial" w:cs="Arial" w:eastAsia="Arial" w:hAnsi="Arial"/>
          <w:b/>
          <w:bCs/>
          <w:color w:val="1B2A4A"/>
          <w:sz w:val="22"/>
          <w:szCs w:val="22"/>
        </w:rPr>
        <w:t xml:space="preserve">Auditability: </w:t>
      </w:r>
      <w:r>
        <w:rPr>
          <w:rFonts w:ascii="Arial" w:cs="Arial" w:eastAsia="Arial" w:hAnsi="Arial"/>
          <w:color w:val="333333"/>
          <w:sz w:val="22"/>
          <w:szCs w:val="22"/>
        </w:rPr>
        <w:t xml:space="preserve">Global shape functions are inspectable curves; local explanations are exact dollar decompositions.</w:t>
      </w:r>
    </w:p>
    <w:p>
      <w:r>
        <w:br w:type="page"/>
      </w:r>
    </w:p>
    <w:p>
      <w:pPr>
        <w:pStyle w:val="Heading1"/>
        <w:spacing w:before="400" w:after="200"/>
      </w:pPr>
      <w:r>
        <w:t xml:space="preserve">4. Risk Neutrality: Redistribution, Not Inflation</w:t>
      </w:r>
    </w:p>
    <w:p>
      <w:pPr>
        <w:spacing w:before="0" w:after="100"/>
      </w:pPr>
      <w:r>
        <w:rPr>
          <w:rFonts w:ascii="Arial" w:cs="Arial" w:eastAsia="Arial" w:hAnsi="Arial"/>
          <w:color w:val="333333"/>
          <w:sz w:val="22"/>
          <w:szCs w:val="22"/>
        </w:rPr>
        <w:t xml:space="preserve">A critical property of the architecture is that the GA2M layer redistributes premium across the portfolio without changing the total book premium.</w:t>
      </w:r>
    </w:p>
    <w:p>
      <w:pPr>
        <w:pStyle w:val="Heading2"/>
        <w:spacing w:before="300" w:after="160"/>
      </w:pPr>
      <w:r>
        <w:t xml:space="preserve">4.1 The Normalization Mechanism</w:t>
      </w:r>
    </w:p>
    <w:p>
      <w:pPr>
        <w:spacing w:before="0" w:after="100"/>
      </w:pPr>
      <w:r>
        <w:rPr>
          <w:rFonts w:ascii="Arial" w:cs="Arial" w:eastAsia="Arial" w:hAnsi="Arial"/>
          <w:color w:val="333333"/>
          <w:sz w:val="22"/>
          <w:szCs w:val="22"/>
        </w:rPr>
        <w:t xml:space="preserve">After the EBM produces raw uplift predictions and the corridor clip is applied, uplift factors are normalized:</w:t>
      </w:r>
    </w:p>
    <w:p>
      <w:pPr>
        <w:shd w:fill="F0F4FA" w:val="clear"/>
        <w:spacing w:before="60" w:after="60"/>
        <w:ind w:left="240" w:right="240"/>
      </w:pPr>
      <w:r>
        <w:rPr>
          <w:rFonts w:ascii="Courier New" w:cs="Courier New" w:eastAsia="Courier New" w:hAnsi="Courier New"/>
          <w:color w:val="1B2A4A"/>
          <w:sz w:val="20"/>
          <w:szCs w:val="20"/>
        </w:rPr>
        <w:t xml:space="preserve">normalized_upliftᵢ = raw_upliftᵢ / [Σⱼ (GLM_PPⱼ × raw_upliftⱼ) / Σⱼ GLM_PPⱼ]</w:t>
      </w:r>
    </w:p>
    <w:p>
      <w:pPr>
        <w:spacing w:before="0" w:after="100"/>
      </w:pPr>
      <w:r>
        <w:rPr>
          <w:rFonts w:ascii="Arial" w:cs="Arial" w:eastAsia="Arial" w:hAnsi="Arial"/>
          <w:color w:val="333333"/>
          <w:sz w:val="22"/>
          <w:szCs w:val="22"/>
        </w:rPr>
        <w:t xml:space="preserve">This guarantees: Σ (GLM_PPᵢ × normalized_upliftᵢ) = Σ GLM_PPᵢ. The demo verifies this identity to machine precision (tolerance &lt; $1).</w:t>
      </w:r>
    </w:p>
    <w:p>
      <w:pPr>
        <w:pStyle w:val="Heading2"/>
        <w:spacing w:before="300" w:after="160"/>
      </w:pPr>
      <w:r>
        <w:t xml:space="preserve">4.2 The Bounded Corridor</w:t>
      </w:r>
    </w:p>
    <w:p>
      <w:pPr>
        <w:spacing w:before="0" w:after="100"/>
      </w:pPr>
      <w:r>
        <w:rPr>
          <w:rFonts w:ascii="Arial" w:cs="Arial" w:eastAsia="Arial" w:hAnsi="Arial"/>
          <w:color w:val="333333"/>
          <w:sz w:val="22"/>
          <w:szCs w:val="22"/>
        </w:rPr>
        <w:t xml:space="preserve">Individual policy adjustments are constrained to [0.65×, 1.60×]. The asymmetry is intentional: underpriced risks pose greater adverse selection danger than overpriced ones, so the upward correction ceiling (+60%) is wider than the downward floor (−35%).</w:t>
      </w:r>
    </w:p>
    <w:p>
      <w:pPr>
        <w:pStyle w:val="Heading2"/>
        <w:spacing w:before="300" w:after="160"/>
      </w:pPr>
      <w:r>
        <w:t xml:space="preserve">4.3 Premium Flow Summary</w:t>
      </w:r>
    </w:p>
    <w:p>
      <w:pPr>
        <w:spacing w:before="0" w:after="100"/>
      </w:pPr>
      <w:r>
        <w:rPr>
          <w:rFonts w:ascii="Arial" w:cs="Arial" w:eastAsia="Arial" w:hAnsi="Arial"/>
          <w:color w:val="333333"/>
          <w:sz w:val="22"/>
          <w:szCs w:val="22"/>
        </w:rPr>
        <w:t xml:space="preserve">On the demo’s 100K-policy book ($211M total premium): $16.0M in surcharges across ~42,000 underpriced policies, offset by $16.0M in credits across ~58,000 overpriced policies. Net premium change: </w:t>
      </w:r>
      <w:r>
        <w:rPr>
          <w:rFonts w:ascii="Arial" w:cs="Arial" w:eastAsia="Arial" w:hAnsi="Arial"/>
          <w:b/>
          <w:bCs/>
          <w:color w:val="2EC4B6"/>
          <w:sz w:val="22"/>
          <w:szCs w:val="22"/>
        </w:rPr>
        <w:t xml:space="preserve">$0</w:t>
      </w:r>
      <w:r>
        <w:rPr>
          <w:rFonts w:ascii="Arial" w:cs="Arial" w:eastAsia="Arial" w:hAnsi="Arial"/>
          <w:color w:val="333333"/>
          <w:sz w:val="22"/>
          <w:szCs w:val="22"/>
        </w:rPr>
        <w:t xml:space="preserve">. Policies at corridor floor (0.65×): ~810 (0.8%). Policies at corridor ceiling (1.60×): ~1,870 (1.9%).</w:t>
      </w:r>
    </w:p>
    <w:p>
      <w:r>
        <w:br w:type="page"/>
      </w:r>
    </w:p>
    <w:p>
      <w:pPr>
        <w:pStyle w:val="Heading1"/>
        <w:spacing w:before="400" w:after="200"/>
      </w:pPr>
      <w:r>
        <w:t xml:space="preserve">5. Synthetic Data Generation</w:t>
      </w:r>
    </w:p>
    <w:p>
      <w:pPr>
        <w:spacing w:before="0" w:after="100"/>
      </w:pPr>
      <w:r>
        <w:rPr>
          <w:rFonts w:ascii="Arial" w:cs="Arial" w:eastAsia="Arial" w:hAnsi="Arial"/>
          <w:color w:val="333333"/>
          <w:sz w:val="22"/>
          <w:szCs w:val="22"/>
        </w:rPr>
        <w:t xml:space="preserve">The demo operates on 100,000 synthetic homeowners policies generated with a controlled data-generating process (DGP) designed to embed realistic actuarial relationships while allowing precise control over variance decomposition.</w:t>
      </w:r>
    </w:p>
    <w:p>
      <w:pPr>
        <w:pStyle w:val="Heading2"/>
        <w:spacing w:before="300" w:after="160"/>
      </w:pPr>
      <w:r>
        <w:t xml:space="preserve">5.1 Geographic Structure</w:t>
      </w:r>
    </w:p>
    <w:p>
      <w:pPr>
        <w:spacing w:before="0" w:after="100"/>
      </w:pPr>
      <w:r>
        <w:rPr>
          <w:rFonts w:ascii="Arial" w:cs="Arial" w:eastAsia="Arial" w:hAnsi="Arial"/>
          <w:color w:val="333333"/>
          <w:sz w:val="22"/>
          <w:szCs w:val="22"/>
        </w:rPr>
        <w:t xml:space="preserve">Each policy is assigned to one of 10 US states plus an “Other” category, with portfolio weights reflecting typical national homeowners distributions. State-conditional distributions drive wildfire (bimodal for CA/CO/WA), hail (Poisson by state), and flood (exponential by state) exposures.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1600"/>
        <w:gridCol w:w="1600"/>
        <w:gridCol w:w="120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State</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Weight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Wildfire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Hail λ</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Flood Scale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AOI Mult.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High bimodal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1.40×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TX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2.8 (hail belt)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0.85×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9.0 (flood)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NY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1.30×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Medium bimodal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2.5 (hail belt)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3.2 (hail belt)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0.75×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8.5 (flood)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0.80×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1.25×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Medium bimodal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1.15×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0.90×</w:t>
            </w:r>
          </w:p>
        </w:tc>
      </w:tr>
    </w:tbl>
    <w:p>
      <w:pPr>
        <w:spacing w:before="0" w:after="100"/>
      </w:pPr>
      <w:r>
        <w:rPr>
          <w:rFonts w:ascii="Arial" w:cs="Arial" w:eastAsia="Arial" w:hAnsi="Arial"/>
          <w:color w:val="333333"/>
          <w:sz w:val="22"/>
          <w:szCs w:val="22"/>
        </w:rPr>
        <w:t xml:space="preserve"/>
      </w:r>
    </w:p>
    <w:p>
      <w:pPr>
        <w:spacing w:before="0" w:after="100"/>
      </w:pPr>
      <w:r>
        <w:rPr>
          <w:rFonts w:ascii="Arial" w:cs="Arial" w:eastAsia="Arial" w:hAnsi="Arial"/>
          <w:b/>
          <w:bCs/>
          <w:color w:val="1B2A4A"/>
          <w:sz w:val="22"/>
          <w:szCs w:val="22"/>
        </w:rPr>
        <w:t xml:space="preserve">Credit score suppression: </w:t>
      </w:r>
      <w:r>
        <w:rPr>
          <w:rFonts w:ascii="Arial" w:cs="Arial" w:eastAsia="Arial" w:hAnsi="Arial"/>
          <w:color w:val="333333"/>
          <w:sz w:val="22"/>
          <w:szCs w:val="22"/>
        </w:rPr>
        <w:t xml:space="preserve">CA and MA policies use portfolio median (700) to simulate state-level regulatory restrictions.</w:t>
      </w:r>
    </w:p>
    <w:p>
      <w:pPr>
        <w:pStyle w:val="Heading2"/>
        <w:spacing w:before="300" w:after="160"/>
      </w:pPr>
      <w:r>
        <w:t xml:space="preserve">5.2 Inter-Feature Correlations</w:t>
      </w:r>
    </w:p>
    <w:p>
      <w:pPr>
        <w:spacing w:before="0" w:after="100"/>
      </w:pPr>
      <w:r>
        <w:rPr>
          <w:rFonts w:ascii="Arial" w:cs="Arial" w:eastAsia="Arial" w:hAnsi="Arial"/>
          <w:color w:val="333333"/>
          <w:sz w:val="22"/>
          <w:szCs w:val="22"/>
        </w:rPr>
        <w:t xml:space="preserve">An Iman-Conover (Gaussian copula surrogate) method is applied to 19 continuous/ordinal features to reproduce realistic correlation structure: Roof Age × Year Built (ρ ≈ −0.80), AOI × Square Footage (ρ ≈ +0.85), RCV × Square Footage (ρ ≈ +0.88), Building Code × Year Built (ρ ≈ +0.70), and others.</w:t>
      </w:r>
    </w:p>
    <w:p>
      <w:pPr>
        <w:pStyle w:val="Heading2"/>
        <w:spacing w:before="300" w:after="160"/>
      </w:pPr>
      <w:r>
        <w:t xml:space="preserve">5.3 Non-Linear Risk Shapes</w:t>
      </w:r>
    </w:p>
    <w:p>
      <w:pPr>
        <w:spacing w:before="0" w:after="100"/>
      </w:pPr>
      <w:r>
        <w:rPr>
          <w:rFonts w:ascii="Arial" w:cs="Arial" w:eastAsia="Arial" w:hAnsi="Arial"/>
          <w:color w:val="333333"/>
          <w:sz w:val="22"/>
          <w:szCs w:val="22"/>
        </w:rPr>
        <w:t xml:space="preserve">Non-linear relationships are embedded directly in the claim frequency equation: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Feature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Shape Type</w:t>
            </w:r>
          </w:p>
        </w:tc>
        <w:tc>
          <w:tcPr>
            <w:tcW w:type="dxa" w:w="4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Actuarial 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Wildfire Exposure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Convex (flat &lt;30, accel &gt;30)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Verisk FireLine: 0–2 standard, 3+ restricted, 9+ uninsurable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Roof Vulnerability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Quadratic ((score/20)²)</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CAPE Analytics: severe roofs → 400% wind/hail loss 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Fire Hydrant Distance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Logarithmic (diminishing)</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ISO split-class: first 0.5 mi critical, flattens beyond 3 mi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Building Code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Step threshold (&lt;60%)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Pre-2000 vs. post-2000 code era boundary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Water Loss Recency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Exponential decay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CLUE data: claims within 12 mo = 1.6× repeat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Credit Score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Diminishing returns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 loss ratio differential best-to-worst, flat above 780</w:t>
            </w:r>
          </w:p>
        </w:tc>
      </w:tr>
    </w:tbl>
    <w:p>
      <w:pPr>
        <w:pStyle w:val="Heading2"/>
        <w:spacing w:before="300" w:after="160"/>
      </w:pPr>
      <w:r>
        <w:t xml:space="preserve">5.4 Variance Budget and R² Calibration</w:t>
      </w:r>
    </w:p>
    <w:p>
      <w:pPr>
        <w:spacing w:before="0" w:after="100"/>
      </w:pPr>
      <w:r>
        <w:rPr>
          <w:rFonts w:ascii="Arial" w:cs="Arial" w:eastAsia="Arial" w:hAnsi="Arial"/>
          <w:color w:val="333333"/>
          <w:sz w:val="22"/>
          <w:szCs w:val="22"/>
        </w:rPr>
        <w:t xml:space="preserve">The DGP decomposes log-premium variance into three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340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Component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Scalar (σ)</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Variance (σ²)</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Legacy signal (GLM-accessible)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0.32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0.1024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Linear effects the GLM recovers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Modern signal (GA2M-only)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0.20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0.0400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Non-linear + interaction effects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Irreducible noise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0.25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0.0625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Weather randomness, behavioral unpredictability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Total (excl. base_log)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0.2049</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Base_log AOI variance ≈ 0.091 additional</w:t>
            </w:r>
          </w:p>
        </w:tc>
      </w:tr>
    </w:tbl>
    <w:p>
      <w:pPr>
        <w:spacing w:before="0" w:after="100"/>
      </w:pPr>
      <w:r>
        <w:rPr>
          <w:rFonts w:ascii="Arial" w:cs="Arial" w:eastAsia="Arial" w:hAnsi="Arial"/>
          <w:color w:val="333333"/>
          <w:sz w:val="22"/>
          <w:szCs w:val="22"/>
        </w:rPr>
        <w:t xml:space="preserve">This produces target R² ranges of 0.58–0.65 for the GLM alone and 0.75–0.82 for the combined model, with the GA2M contributing an incremental ΔR² of 0.07–0.14.</w:t>
      </w:r>
    </w:p>
    <w:p>
      <w:r>
        <w:br w:type="page"/>
      </w:r>
    </w:p>
    <w:p>
      <w:pPr>
        <w:pStyle w:val="Heading1"/>
        <w:spacing w:before="400" w:after="200"/>
      </w:pPr>
      <w:r>
        <w:t xml:space="preserve">6. Feature Architecture</w:t>
      </w:r>
    </w:p>
    <w:p>
      <w:pPr>
        <w:pStyle w:val="Heading2"/>
        <w:spacing w:before="300" w:after="160"/>
      </w:pPr>
      <w:r>
        <w:t xml:space="preserve">6.1 GLM Features (16 Total)</w:t>
      </w:r>
    </w:p>
    <w:p>
      <w:pPr>
        <w:spacing w:before="0" w:after="100"/>
      </w:pPr>
      <w:r>
        <w:rPr>
          <w:rFonts w:ascii="Arial" w:cs="Arial" w:eastAsia="Arial" w:hAnsi="Arial"/>
          <w:color w:val="333333"/>
          <w:sz w:val="22"/>
          <w:szCs w:val="22"/>
        </w:rPr>
        <w:t xml:space="preserve">12 main effects + 4 engineered interactions.</w:t>
      </w:r>
    </w:p>
    <w:p>
      <w:pPr>
        <w:pStyle w:val="Heading3"/>
        <w:spacing w:before="200" w:after="120"/>
      </w:pPr>
      <w:r>
        <w:t xml:space="preserve">6.1.1 Main Effects (12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6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Feature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Entry Form</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Industry Source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Dwelling 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2026 − Year_Built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Universal—building code era proxy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Square Footage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Log-transformed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Severity correlate via Coverage 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CLUE Loss 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Integer (0–8)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Prior claims count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LexisNexis CLUE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Credit 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Continuous (300–850)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Behavioral predictor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FICO/LexisNexis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Construction 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Categorical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Frame / Masonry / Fire Res.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ISO construction codes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Protection Class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Ordinal (1–10)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ISO PPC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Fire Suppression Rating Schedule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AOI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Continuous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Amount of Insurance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Direct severity exposure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Deductible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Categorical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$500 / $1K / $2K / $5K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Moral hazard / selection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Territory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Categorical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Urban / Suburban / Rural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Geographic risk aggregation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Roof 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Continuous (1–30)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Applicant-reported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BuildFax / CAPE 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Fire Alarm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Binary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Monitored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Standard discount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Burglar Alarm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Binary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Monitored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Standard discount</w:t>
            </w:r>
          </w:p>
        </w:tc>
      </w:tr>
    </w:tbl>
    <w:p>
      <w:pPr>
        <w:pStyle w:val="Heading3"/>
        <w:spacing w:before="200" w:after="120"/>
      </w:pPr>
      <w:r>
        <w:t xml:space="preserve">6.1.2 Engineered Interactions (4 terms)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Interaction</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Formula</w:t>
            </w:r>
          </w:p>
        </w:tc>
        <w:tc>
          <w:tcPr>
            <w:tcW w:type="dxa" w:w="4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Actuarial 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Frame × High PC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(Frame) &amp; (PC &gt; 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ISO named interaction: frame vs masonry is 8% in good areas, 20% in poor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Claims × Low Ded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(CLUE ≥ 2) &amp; (Ded ≤ $500)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Frequent claimants + lowest deductible = adverse selection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Urban × High PC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(Urban) &amp; (PC &gt; 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Urban areas with poor fire response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Old Roof × Hail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(Roof &gt; 20yr) &amp; (Hail ≥ 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Accumulated micro-damage on aging roofs in hail corridors</w:t>
            </w:r>
          </w:p>
        </w:tc>
      </w:tr>
    </w:tbl>
    <w:p>
      <w:pPr>
        <w:pStyle w:val="Heading2"/>
        <w:spacing w:before="300" w:after="160"/>
      </w:pPr>
      <w:r>
        <w:t xml:space="preserve">6.2 GA2M Features (28 Total)</w:t>
      </w:r>
    </w:p>
    <w:p>
      <w:pPr>
        <w:spacing w:before="0" w:after="100"/>
      </w:pPr>
      <w:r>
        <w:rPr>
          <w:rFonts w:ascii="Arial" w:cs="Arial" w:eastAsia="Arial" w:hAnsi="Arial"/>
          <w:color w:val="333333"/>
          <w:sz w:val="22"/>
          <w:szCs w:val="22"/>
        </w:rPr>
        <w:t xml:space="preserve">All 12 GLM main effects + 13 modern enrichment features + 3 derived features.</w:t>
      </w:r>
    </w:p>
    <w:p>
      <w:pPr>
        <w:pStyle w:val="Heading3"/>
        <w:spacing w:before="200" w:after="120"/>
      </w:pPr>
      <w:r>
        <w:t xml:space="preserve">6.2.1 Modern Enrichment Features (13 new signals)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Feature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Source Narrative</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Non-Linear Shape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Roof Vulnerability (Satellite)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CAPE Analytics / Betterview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Convex above score 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Wildfire Exposure (Daily)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ZestyAI Z-FIRE style index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Convex—flat &lt;30, accelerating &gt;50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Water Loss Recency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Verisk CLUE real-time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Exponential decay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RCV vs. Appraised gap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Verisk 360Value / e2Value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Linear above 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Fire Hydrant Distance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HazardHub / ISO PPC sub-data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Logarithmic—diminishing beyond 1 mi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Tree Canopy Density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CAPE / Nearmap NDVI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Moderate positive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Crime Severity 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HazardHub / ADT crime 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Mostly linear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Pluvial Flood Depth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First Street Foundation DEM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Threshold above 15 inches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Building Code Compliance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Permit records / ATTOM 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Sharp threshold below 60%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Slope Steepness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USGS DEM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Convex above 20 degrees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Attic Ventilation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Appraisal / inspection data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Categorical (Poor =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Hail Frequency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NOAA SPC / HazardHub</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Moderate positive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Soil Liquefaction Risk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USGS seismic hazard maps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Categorical (Low/Mod/High)</w:t>
            </w:r>
          </w:p>
        </w:tc>
      </w:tr>
    </w:tbl>
    <w:p>
      <w:pPr>
        <w:pStyle w:val="Heading3"/>
        <w:spacing w:before="200" w:after="120"/>
      </w:pPr>
      <w:r>
        <w:t xml:space="preserve">6.2.2 Derived Features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Feature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Formula</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Dwelling 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2026 − Year_Built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More interpretable than raw year for non-linear age effects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RCV Overstatement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max(0, AOI − RCV_Appraised)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Pre-computed moral hazard gap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 AOI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log(AOI)</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Stabilizes right tail for interaction terms</w:t>
            </w:r>
          </w:p>
        </w:tc>
      </w:tr>
    </w:tbl>
    <w:p>
      <w:pPr>
        <w:pStyle w:val="Heading3"/>
        <w:spacing w:before="200" w:after="120"/>
      </w:pPr>
      <w:r>
        <w:t xml:space="preserve">6.2.3 Forced Pairwise Interactions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5800"/>
      </w:tblGrid>
      <w:tr>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Interaction Pair</w:t>
            </w:r>
          </w:p>
        </w:tc>
        <w:tc>
          <w:tcPr>
            <w:tcW w:type="dxa" w:w="5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Risk Mechanism</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Wildfire × Roof Vulnerability</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Ember ignition on deteriorated roofs—super-multiplicative WUI risk</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Water Recency × Tree Canopy</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Root intrusion and moisture retention cycle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RCV Overstatement × Crime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Moral hazard: overvalued property in high-crime area</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Pluvial Flood × Dwelling Age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Pre-code foundations lack modern waterproofing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Slope × Wildfire</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Post-fire debris flow (Montecito-type cascade)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Hail Frequency × Roof Vulnerability</w:t>
            </w:r>
          </w:p>
        </w:tc>
        <w:tc>
          <w:tcPr>
            <w:tcW w:type="dxa" w:w="5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Accumulated micro-damage on aging roofs</w:t>
            </w:r>
          </w:p>
        </w:tc>
      </w:tr>
    </w:tbl>
    <w:p>
      <w:r>
        <w:br w:type="page"/>
      </w:r>
    </w:p>
    <w:p>
      <w:pPr>
        <w:pStyle w:val="Heading1"/>
        <w:spacing w:before="400" w:after="200"/>
      </w:pPr>
      <w:r>
        <w:t xml:space="preserve">7. Model Training Pipeline</w:t>
      </w:r>
    </w:p>
    <w:p>
      <w:pPr>
        <w:pStyle w:val="Heading2"/>
        <w:spacing w:before="300" w:after="160"/>
      </w:pPr>
      <w:r>
        <w:t xml:space="preserve">7.1 Train/Test Split</w:t>
      </w:r>
    </w:p>
    <w:p>
      <w:pPr>
        <w:spacing w:before="0" w:after="100"/>
      </w:pPr>
      <w:r>
        <w:rPr>
          <w:rFonts w:ascii="Arial" w:cs="Arial" w:eastAsia="Arial" w:hAnsi="Arial"/>
          <w:color w:val="333333"/>
          <w:sz w:val="22"/>
          <w:szCs w:val="22"/>
        </w:rPr>
        <w:t xml:space="preserve">80/20 split with fixed random seed (42). Propagated via a “Split” column. Both GLM and GA2M train on identical 80K-policy training sets; all reported metrics are on the 20K-policy test set.</w:t>
      </w:r>
    </w:p>
    <w:p>
      <w:pPr>
        <w:pStyle w:val="Heading2"/>
        <w:spacing w:before="300" w:after="160"/>
      </w:pPr>
      <w:r>
        <w:t xml:space="preserve">7.2 GLM Training (statsmodels)</w:t>
      </w:r>
    </w:p>
    <w:p>
      <w:pPr>
        <w:spacing w:before="0" w:after="100"/>
      </w:pPr>
      <w:r>
        <w:rPr>
          <w:rFonts w:ascii="Arial" w:cs="Arial" w:eastAsia="Arial" w:hAnsi="Arial"/>
          <w:color w:val="333333"/>
          <w:sz w:val="22"/>
          <w:szCs w:val="22"/>
        </w:rPr>
        <w:t xml:space="preserve">Frequency: Poisson family, log link, AOI exposure offset. Severity: Gamma family, log link, fitted on claim-bearing policies with claim-count weights. Full diagnostics: deviance explained, AIC, BIC, coefficient table with significance stars.</w:t>
      </w:r>
    </w:p>
    <w:p>
      <w:pPr>
        <w:pStyle w:val="Heading2"/>
        <w:spacing w:before="300" w:after="160"/>
      </w:pPr>
      <w:r>
        <w:t xml:space="preserve">7.3 GA2M / EBM Training (InterpretML)</w:t>
      </w:r>
    </w:p>
    <w:p>
      <w:pPr>
        <w:spacing w:before="0" w:after="100"/>
      </w:pPr>
      <w:r>
        <w:rPr>
          <w:rFonts w:ascii="Arial" w:cs="Arial" w:eastAsia="Arial" w:hAnsi="Arial"/>
          <w:color w:val="333333"/>
          <w:sz w:val="22"/>
          <w:szCs w:val="22"/>
        </w:rPr>
        <w:t xml:space="preserve">Trained on log-scale GLM residual using all 28 features. The interaction strategy specifies 6 forced + 9 auto-discovered interactions (15 total). Due to InterpretML version constraints, all 15 may be auto-discovered; the EBM finds the most predictive pairs regardless.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Value</w:t>
            </w:r>
          </w:p>
        </w:tc>
        <w:tc>
          <w:tcPr>
            <w:tcW w:type="dxa" w:w="5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learning_rate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0.02</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Smoother, more stable shape functions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outer_bags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8</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Variance reduction; provides confidence bands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max_bins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256</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High resolution for continuous features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max_interaction_bins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32</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Prevents overfitting on sparse 2D cells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interactions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15 (6 forced + 9 auto)</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Covers key compound-peril pairs + emergent</w:t>
            </w:r>
          </w:p>
        </w:tc>
      </w:tr>
    </w:tbl>
    <w:p>
      <w:r>
        <w:br w:type="page"/>
      </w:r>
    </w:p>
    <w:p>
      <w:pPr>
        <w:pStyle w:val="Heading1"/>
        <w:spacing w:before="400" w:after="200"/>
      </w:pPr>
      <w:r>
        <w:t xml:space="preserve">8. Tool Walkthrough: Tab-by-Tab Guide</w:t>
      </w:r>
    </w:p>
    <w:p>
      <w:pPr>
        <w:spacing w:before="0" w:after="100"/>
      </w:pPr>
      <w:r>
        <w:rPr>
          <w:rFonts w:ascii="Arial" w:cs="Arial" w:eastAsia="Arial" w:hAnsi="Arial"/>
          <w:color w:val="333333"/>
          <w:sz w:val="22"/>
          <w:szCs w:val="22"/>
        </w:rPr>
        <w:t xml:space="preserve">The demo is a Dash web application with four tabs following the BD demo arc: impact → proof → drill-down → architecture.</w:t>
      </w:r>
    </w:p>
    <w:p>
      <w:pPr>
        <w:pStyle w:val="Heading2"/>
        <w:spacing w:before="300" w:after="160"/>
      </w:pPr>
      <w:r>
        <w:t xml:space="preserve">8.1 Tab 1: Business Case</w:t>
      </w:r>
    </w:p>
    <w:p>
      <w:pPr>
        <w:spacing w:before="0" w:after="100"/>
      </w:pPr>
      <w:r>
        <w:rPr>
          <w:rFonts w:ascii="Arial" w:cs="Arial" w:eastAsia="Arial" w:hAnsi="Arial"/>
          <w:color w:val="333333"/>
          <w:sz w:val="22"/>
          <w:szCs w:val="22"/>
        </w:rPr>
        <w:t xml:space="preserve">Answers the executive question: “What is the financial impact?”</w:t>
      </w:r>
    </w:p>
    <w:p>
      <w:pPr>
        <w:pStyle w:val="Heading3"/>
        <w:spacing w:before="200" w:after="120"/>
      </w:pPr>
      <w:r>
        <w:t xml:space="preserve">8.1.1 KPI Cards (Top Row)</w:t>
      </w:r>
    </w:p>
    <w:p>
      <w:pPr>
        <w:spacing w:before="0" w:after="100"/>
      </w:pPr>
      <w:r>
        <w:rPr>
          <w:rFonts w:ascii="Arial" w:cs="Arial" w:eastAsia="Arial" w:hAnsi="Arial"/>
          <w:color w:val="333333"/>
          <w:sz w:val="22"/>
          <w:szCs w:val="22"/>
        </w:rPr>
        <w:t xml:space="preserve">Five cards: (1) Premium at Risk—$16.0M in surcharges needed on underpriced risks, badged “LEAKAGE.” (2) Growth Opportunity—$16.0M in credits on overpriced risks competitors will cream-skim, badged “GROWTH.” (3) Variance Lift ΔR²—+0.139, with subtitle showing GLM 66% → 80% and 41% residual recovered. (4) Adverse Selection—17.3% of policies underpriced &gt;20%, avg leakage $1,173/policy. (5) Book Premium Impact—+0.00%, confirming redistribution not inflation.</w:t>
      </w:r>
    </w:p>
    <w:p>
      <w:pPr>
        <w:pStyle w:val="Heading3"/>
        <w:spacing w:before="200" w:after="120"/>
      </w:pPr>
      <w:r>
        <w:t xml:space="preserve">8.1.2 Premium Flow (Row 1 Left)</w:t>
      </w:r>
    </w:p>
    <w:p>
      <w:pPr>
        <w:spacing w:before="0" w:after="100"/>
      </w:pPr>
      <w:r>
        <w:rPr>
          <w:rFonts w:ascii="Arial" w:cs="Arial" w:eastAsia="Arial" w:hAnsi="Arial"/>
          <w:color w:val="333333"/>
          <w:sz w:val="22"/>
          <w:szCs w:val="22"/>
        </w:rPr>
        <w:t xml:space="preserve">A horizontal diverging bar chart showing aggregate dollar flows: $16M surcharges (red, right) vs. $16M credits (green, left), with a center line at Net = $0. Annotated with policy counts and average $/policy for each direction.</w:t>
      </w:r>
    </w:p>
    <w:p>
      <w:pPr>
        <w:pStyle w:val="Heading3"/>
        <w:spacing w:before="200" w:after="120"/>
      </w:pPr>
      <w:r>
        <w:t xml:space="preserve">8.1.3 Adjustment Distribution (Row 1 Right)</w:t>
      </w:r>
    </w:p>
    <w:p>
      <w:pPr>
        <w:spacing w:before="0" w:after="100"/>
      </w:pPr>
      <w:r>
        <w:rPr>
          <w:rFonts w:ascii="Arial" w:cs="Arial" w:eastAsia="Arial" w:hAnsi="Arial"/>
          <w:color w:val="333333"/>
          <w:sz w:val="22"/>
          <w:szCs w:val="22"/>
        </w:rPr>
        <w:t xml:space="preserve">Histogram of per-policy GA2M adjustment percentages, centered at 0% with a red zero line anchoring risk neutrality. Annotations show 34% of book receiving &gt;10% credit and 24% receiving &gt;10% surcharge. Narrative callouts reframe the asymmetry: left tail = “GLM over-penalizes moderate risks (growth opportunity)”; right tail = “GLM misses compound perils (adverse selection fix).”</w:t>
      </w:r>
    </w:p>
    <w:p>
      <w:pPr>
        <w:pStyle w:val="Heading3"/>
        <w:spacing w:before="200" w:after="120"/>
      </w:pPr>
      <w:r>
        <w:t xml:space="preserve">8.1.4 Systematic Mispricing by Risk Segment (Row 2)</w:t>
      </w:r>
    </w:p>
    <w:p>
      <w:pPr>
        <w:spacing w:before="0" w:after="100"/>
      </w:pPr>
      <w:r>
        <w:rPr>
          <w:rFonts w:ascii="Arial" w:cs="Arial" w:eastAsia="Arial" w:hAnsi="Arial"/>
          <w:color w:val="333333"/>
          <w:sz w:val="22"/>
          <w:szCs w:val="22"/>
        </w:rPr>
        <w:t xml:space="preserve">Full-width grouped bar chart showing signed pricing error by GLM premium quintile (Q1 Lowest Risk through Q5 Highest Risk). Green transparent bars = GLM’s systematic error; navy bars = GA2M-corrected error. The GLM systematically overprices across all segments, with varying magnitude. The GA2M compresses errors toward the zero (perfect pricing) line. Narrative annotations on Q1 (“competitors cream-skim”) and Q5 (“adverse selection”) if applicable.</w:t>
      </w:r>
    </w:p>
    <w:p>
      <w:pPr>
        <w:pStyle w:val="Heading3"/>
        <w:spacing w:before="200" w:after="120"/>
      </w:pPr>
      <w:r>
        <w:t xml:space="preserve">8.1.5 Adverse Selection Scatter (Row 3 Left)</w:t>
      </w:r>
    </w:p>
    <w:p>
      <w:pPr>
        <w:spacing w:before="0" w:after="100"/>
      </w:pPr>
      <w:r>
        <w:rPr>
          <w:rFonts w:ascii="Arial" w:cs="Arial" w:eastAsia="Arial" w:hAnsi="Arial"/>
          <w:color w:val="333333"/>
          <w:sz w:val="22"/>
          <w:szCs w:val="22"/>
        </w:rPr>
        <w:t xml:space="preserve">Side-by-side panels: GLM-predicted premium (left) and Intelligence-adjusted premium (right) plotted against true expected loss cost. Diverging red–grey–green color scale shows pricing error. The right panel shows tighter clustering around the diagonal. MAE annotated: drops from 28.5% to 22.2% (▼ 6.3pp).</w:t>
      </w:r>
    </w:p>
    <w:p>
      <w:pPr>
        <w:pStyle w:val="Heading3"/>
        <w:spacing w:before="200" w:after="120"/>
      </w:pPr>
      <w:r>
        <w:t xml:space="preserve">8.1.6 Reclassification Scatter (Row 3 Center)</w:t>
      </w:r>
    </w:p>
    <w:p>
      <w:pPr>
        <w:spacing w:before="0" w:after="100"/>
      </w:pPr>
      <w:r>
        <w:rPr>
          <w:rFonts w:ascii="Arial" w:cs="Arial" w:eastAsia="Arial" w:hAnsi="Arial"/>
          <w:color w:val="333333"/>
          <w:sz w:val="22"/>
          <w:szCs w:val="22"/>
        </w:rPr>
        <w:t xml:space="preserve">GLM premium (x) vs. Final premium (y) with 45° line. Points above = surcharges (“Hidden Dangers”). Points below = credits (“Hidden Gems”). Color = adjustment magnitude (RdBu diverging scale).</w:t>
      </w:r>
    </w:p>
    <w:p>
      <w:pPr>
        <w:pStyle w:val="Heading3"/>
        <w:spacing w:before="200" w:after="120"/>
      </w:pPr>
      <w:r>
        <w:t xml:space="preserve">8.1.7 Reclassification Matrix (Row 3 Right)</w:t>
      </w:r>
    </w:p>
    <w:p>
      <w:pPr>
        <w:spacing w:before="0" w:after="100"/>
      </w:pPr>
      <w:r>
        <w:rPr>
          <w:rFonts w:ascii="Arial" w:cs="Arial" w:eastAsia="Arial" w:hAnsi="Arial"/>
          <w:color w:val="333333"/>
          <w:sz w:val="22"/>
          <w:szCs w:val="22"/>
        </w:rPr>
        <w:t xml:space="preserve">A 4×4 heatmap showing what percentage of each GLM tier moved to each Final tier. Diagonal cells (stayed in tier) are darkest. Off-diagonal cells show specific migration paths. Title: “22% of portfolio reclassified.” Read row-wise: “Of GLM Low-risk, 87% stayed, 13% moved to Moderate.”</w:t>
      </w:r>
    </w:p>
    <w:p>
      <w:pPr>
        <w:pStyle w:val="Heading2"/>
        <w:spacing w:before="300" w:after="160"/>
      </w:pPr>
      <w:r>
        <w:t xml:space="preserve">8.2 Tab 2: Intelligence Signals</w:t>
      </w:r>
    </w:p>
    <w:p>
      <w:pPr>
        <w:spacing w:before="0" w:after="100"/>
      </w:pPr>
      <w:r>
        <w:rPr>
          <w:rFonts w:ascii="Arial" w:cs="Arial" w:eastAsia="Arial" w:hAnsi="Arial"/>
          <w:color w:val="333333"/>
          <w:sz w:val="22"/>
          <w:szCs w:val="22"/>
        </w:rPr>
        <w:t xml:space="preserve">Answers the technical question: “What signals does the GA2M capture that the GLM cannot?”</w:t>
      </w:r>
    </w:p>
    <w:p>
      <w:pPr>
        <w:pStyle w:val="Heading3"/>
        <w:spacing w:before="200" w:after="120"/>
      </w:pPr>
      <w:r>
        <w:t xml:space="preserve">8.2.1 Data Characteristics Panel</w:t>
      </w:r>
    </w:p>
    <w:p>
      <w:pPr>
        <w:spacing w:before="0" w:after="100"/>
      </w:pPr>
      <w:r>
        <w:rPr>
          <w:rFonts w:ascii="Arial" w:cs="Arial" w:eastAsia="Arial" w:hAnsi="Arial"/>
          <w:color w:val="333333"/>
          <w:sz w:val="22"/>
          <w:szCs w:val="22"/>
        </w:rPr>
        <w:t xml:space="preserve">A 2×2 grid of three-layer charts for Wildfire Exposure, Roof Vulnerability, Building Code Compliance, and Credit Score. Layer 1: empirical dots (binned EPP/GLM ratio). Layer 2: dashed line at 0% (GLM assumption). Layer 3: teal curve (GA2M shape function with confidence band). Max GLM error annotated at peak divergence.</w:t>
      </w:r>
    </w:p>
    <w:p>
      <w:pPr>
        <w:pStyle w:val="Heading3"/>
        <w:spacing w:before="200" w:after="120"/>
      </w:pPr>
      <w:r>
        <w:t xml:space="preserve">8.2.2 Signal Landscape</w:t>
      </w:r>
    </w:p>
    <w:p>
      <w:pPr>
        <w:spacing w:before="0" w:after="100"/>
      </w:pPr>
      <w:r>
        <w:rPr>
          <w:rFonts w:ascii="Arial" w:cs="Arial" w:eastAsia="Arial" w:hAnsi="Arial"/>
          <w:color w:val="333333"/>
          <w:sz w:val="22"/>
          <w:szCs w:val="22"/>
        </w:rPr>
        <w:t xml:space="preserve">Horizontal bar chart ranking top 15 features by estimated dollar impact per policy. Three colors: gold = interaction terms, navy = new modern signals, blue-grey = legacy features gaining non-linear treatment. Roof Vulnerability Satellite leads at ~$211/policy.</w:t>
      </w:r>
    </w:p>
    <w:p>
      <w:pPr>
        <w:pStyle w:val="Heading3"/>
        <w:spacing w:before="200" w:after="120"/>
      </w:pPr>
      <w:r>
        <w:t xml:space="preserve">8.2.3 Geographic Intelligence</w:t>
      </w:r>
    </w:p>
    <w:p>
      <w:pPr>
        <w:spacing w:before="0" w:after="100"/>
      </w:pPr>
      <w:r>
        <w:rPr>
          <w:rFonts w:ascii="Arial" w:cs="Arial" w:eastAsia="Arial" w:hAnsi="Arial"/>
          <w:color w:val="333333"/>
          <w:sz w:val="22"/>
          <w:szCs w:val="22"/>
        </w:rPr>
        <w:t xml:space="preserve">Horizontal bar chart showing average GA2M adjustment by state. Red bars = average surcharge states (CA leads at +8.0%, driven by wildfire × roof interactions). Green bars = average credit states. Error bars show ±1 SE. Replaces the former duplicate shape function panel.</w:t>
      </w:r>
    </w:p>
    <w:p>
      <w:pPr>
        <w:pStyle w:val="Heading3"/>
        <w:spacing w:before="200" w:after="120"/>
      </w:pPr>
      <w:r>
        <w:t xml:space="preserve">8.2.4 Interaction Heatmap</w:t>
      </w:r>
    </w:p>
    <w:p>
      <w:pPr>
        <w:spacing w:before="0" w:after="100"/>
      </w:pPr>
      <w:r>
        <w:rPr>
          <w:rFonts w:ascii="Arial" w:cs="Arial" w:eastAsia="Arial" w:hAnsi="Arial"/>
          <w:color w:val="333333"/>
          <w:sz w:val="22"/>
          <w:szCs w:val="22"/>
        </w:rPr>
        <w:t xml:space="preserve">Wildfire × Roof Vulnerability heatmap showing the GA2M’s learned compounding risk surface. Green (lower-left) = low risk, credits. Deep red (upper-right) = high compound risk, up to 60% surcharge. Annotation: “A GLM would show: flat (no interaction).”</w:t>
      </w:r>
    </w:p>
    <w:p>
      <w:pPr>
        <w:pStyle w:val="Heading2"/>
        <w:spacing w:before="300" w:after="160"/>
      </w:pPr>
      <w:r>
        <w:t xml:space="preserve">8.3 Tab 3: Policy Lens</w:t>
      </w:r>
    </w:p>
    <w:p>
      <w:pPr>
        <w:spacing w:before="0" w:after="100"/>
      </w:pPr>
      <w:r>
        <w:rPr>
          <w:rFonts w:ascii="Arial" w:cs="Arial" w:eastAsia="Arial" w:hAnsi="Arial"/>
          <w:color w:val="333333"/>
          <w:sz w:val="22"/>
          <w:szCs w:val="22"/>
        </w:rPr>
        <w:t xml:space="preserve">Answers the underwriting question: “How does this change the price for a specific property?”</w:t>
      </w:r>
    </w:p>
    <w:p>
      <w:pPr>
        <w:pStyle w:val="Heading3"/>
        <w:spacing w:before="200" w:after="120"/>
      </w:pPr>
      <w:r>
        <w:t xml:space="preserve">8.3.1 Quick Pick Archetypes</w:t>
      </w:r>
    </w:p>
    <w:p>
      <w:pPr>
        <w:spacing w:before="0" w:after="100"/>
      </w:pPr>
      <w:r>
        <w:rPr>
          <w:rFonts w:ascii="Arial" w:cs="Arial" w:eastAsia="Arial" w:hAnsi="Arial"/>
          <w:color w:val="333333"/>
          <w:sz w:val="22"/>
          <w:szCs w:val="22"/>
        </w:rPr>
        <w:t xml:space="preserve">Eight named tiles: WUI Wildfire Risk, Hail Belt Old Roof, Flood Zone Foundation, Moral Hazard Signal, Hidden Gem (overpriced), New Build Masonry, Water Recency Risk, Suburban Standard. Each shows GLM → Final price and adjustment %. Adjustments now range from +59% to −31% (archetypes are filtered to avoid corridor-ceiling clustering).</w:t>
      </w:r>
    </w:p>
    <w:p>
      <w:pPr>
        <w:pStyle w:val="Heading3"/>
        <w:spacing w:before="200" w:after="120"/>
      </w:pPr>
      <w:r>
        <w:t xml:space="preserve">8.3.2 Waterfall Views (Three Modes)</w:t>
      </w:r>
    </w:p>
    <w:p>
      <w:pPr>
        <w:spacing w:before="0" w:after="100"/>
      </w:pPr>
      <w:r>
        <w:rPr>
          <w:rFonts w:ascii="Arial" w:cs="Arial" w:eastAsia="Arial" w:hAnsi="Arial"/>
          <w:b/>
          <w:bCs/>
          <w:color w:val="1B2A4A"/>
          <w:sz w:val="22"/>
          <w:szCs w:val="22"/>
        </w:rPr>
        <w:t xml:space="preserve">Strategic: </w:t>
      </w:r>
      <w:r>
        <w:rPr>
          <w:rFonts w:ascii="Arial" w:cs="Arial" w:eastAsia="Arial" w:hAnsi="Arial"/>
          <w:color w:val="333333"/>
          <w:sz w:val="22"/>
          <w:szCs w:val="22"/>
        </w:rPr>
        <w:t xml:space="preserve">Three-bar waterfall (GLM Estimate → GA2M Adjustment → Final Premium).</w:t>
      </w:r>
    </w:p>
    <w:p>
      <w:pPr>
        <w:spacing w:before="0" w:after="100"/>
      </w:pPr>
      <w:r>
        <w:rPr>
          <w:rFonts w:ascii="Arial" w:cs="Arial" w:eastAsia="Arial" w:hAnsi="Arial"/>
          <w:b/>
          <w:bCs/>
          <w:color w:val="1B2A4A"/>
          <w:sz w:val="22"/>
          <w:szCs w:val="22"/>
        </w:rPr>
        <w:t xml:space="preserve">GLM Breakdown: </w:t>
      </w:r>
      <w:r>
        <w:rPr>
          <w:rFonts w:ascii="Arial" w:cs="Arial" w:eastAsia="Arial" w:hAnsi="Arial"/>
          <w:color w:val="333333"/>
          <w:sz w:val="22"/>
          <w:szCs w:val="22"/>
        </w:rPr>
        <w:t xml:space="preserve">Per-feature dollar waterfall from statsmodels coefficients. Zero-impact bars (&lt; $5) are filtered out for clarity.</w:t>
      </w:r>
    </w:p>
    <w:p>
      <w:pPr>
        <w:spacing w:before="0" w:after="100"/>
      </w:pPr>
      <w:r>
        <w:rPr>
          <w:rFonts w:ascii="Arial" w:cs="Arial" w:eastAsia="Arial" w:hAnsi="Arial"/>
          <w:b/>
          <w:bCs/>
          <w:color w:val="1B2A4A"/>
          <w:sz w:val="22"/>
          <w:szCs w:val="22"/>
        </w:rPr>
        <w:t xml:space="preserve">GA2M Intelligence: </w:t>
      </w:r>
      <w:r>
        <w:rPr>
          <w:rFonts w:ascii="Arial" w:cs="Arial" w:eastAsia="Arial" w:hAnsi="Arial"/>
          <w:color w:val="333333"/>
          <w:sz w:val="22"/>
          <w:szCs w:val="22"/>
        </w:rPr>
        <w:t xml:space="preserve">Per-feature dollar waterfall from EBM explain_local(). Top 10 features shown individually; remaining aggregated with hover detail. Interaction terms marked with ⊗ prefix.</w:t>
      </w:r>
    </w:p>
    <w:p>
      <w:pPr>
        <w:pStyle w:val="Heading2"/>
        <w:spacing w:before="300" w:after="160"/>
      </w:pPr>
      <w:r>
        <w:t xml:space="preserve">8.4 Tab 4: Framework</w:t>
      </w:r>
    </w:p>
    <w:p>
      <w:pPr>
        <w:spacing w:before="0" w:after="100"/>
      </w:pPr>
      <w:r>
        <w:rPr>
          <w:rFonts w:ascii="Arial" w:cs="Arial" w:eastAsia="Arial" w:hAnsi="Arial"/>
          <w:color w:val="333333"/>
          <w:sz w:val="22"/>
          <w:szCs w:val="22"/>
        </w:rPr>
        <w:t xml:space="preserve">Five numbered sections: (1) GLM mathematical spec with formulas, AOI offset, credit suppression note. (2) Three structural ceiling constraints with “33.6% unexplained” callout. (3) GA2M spec with residual formula, corridor, and risk neutrality display. (4) Glass-box guarantee (Global, Local, Regulatory) with exact additivity note. (5) Validation performance chips (GLM R², GA2M R², ΔR², corridor, risk neutrality, residual recovered) + production validation checklist.</w:t>
      </w:r>
    </w:p>
    <w:p>
      <w:r>
        <w:br w:type="page"/>
      </w:r>
    </w:p>
    <w:p>
      <w:pPr>
        <w:pStyle w:val="Heading1"/>
        <w:spacing w:before="400" w:after="200"/>
      </w:pPr>
      <w:r>
        <w:t xml:space="preserve">9. Installation and Operation</w:t>
      </w:r>
    </w:p>
    <w:p>
      <w:pPr>
        <w:pStyle w:val="Heading2"/>
        <w:spacing w:before="300" w:after="160"/>
      </w:pPr>
      <w:r>
        <w:t xml:space="preserve">9.1 Prerequisites</w:t>
      </w:r>
    </w:p>
    <w:p>
      <w:pPr>
        <w:spacing w:before="0" w:after="100"/>
      </w:pPr>
      <w:r>
        <w:rPr>
          <w:rFonts w:ascii="Arial" w:cs="Arial" w:eastAsia="Arial" w:hAnsi="Arial"/>
          <w:color w:val="333333"/>
          <w:sz w:val="22"/>
          <w:szCs w:val="22"/>
        </w:rPr>
        <w:t xml:space="preserve">Python 3.10+, approximately 2 GB RAM for training, 1.5–2 minutes for the full pipeline.</w:t>
      </w:r>
    </w:p>
    <w:p>
      <w:pPr>
        <w:pStyle w:val="Heading2"/>
        <w:spacing w:before="300" w:after="160"/>
      </w:pPr>
      <w:r>
        <w:t xml:space="preserve">9.2 Quick Start</w:t>
      </w:r>
    </w:p>
    <w:p>
      <w:pPr>
        <w:shd w:fill="F0F4FA" w:val="clear"/>
        <w:spacing w:before="60" w:after="60"/>
        <w:ind w:left="240" w:right="240"/>
      </w:pPr>
      <w:r>
        <w:rPr>
          <w:rFonts w:ascii="Courier New" w:cs="Courier New" w:eastAsia="Courier New" w:hAnsi="Courier New"/>
          <w:color w:val="1B2A4A"/>
          <w:sz w:val="20"/>
          <w:szCs w:val="20"/>
        </w:rPr>
        <w:t xml:space="preserve">pip install -r requirements.txt</w:t>
      </w:r>
    </w:p>
    <w:p>
      <w:pPr>
        <w:shd w:fill="F0F4FA" w:val="clear"/>
        <w:spacing w:before="60" w:after="60"/>
        <w:ind w:left="240" w:right="240"/>
      </w:pPr>
      <w:r>
        <w:rPr>
          <w:rFonts w:ascii="Courier New" w:cs="Courier New" w:eastAsia="Courier New" w:hAnsi="Courier New"/>
          <w:color w:val="1B2A4A"/>
          <w:sz w:val="20"/>
          <w:szCs w:val="20"/>
        </w:rPr>
        <w:t xml:space="preserve">python setup.py</w:t>
      </w:r>
    </w:p>
    <w:p>
      <w:pPr>
        <w:shd w:fill="F0F4FA" w:val="clear"/>
        <w:spacing w:before="60" w:after="60"/>
        <w:ind w:left="240" w:right="240"/>
      </w:pPr>
      <w:r>
        <w:rPr>
          <w:rFonts w:ascii="Courier New" w:cs="Courier New" w:eastAsia="Courier New" w:hAnsi="Courier New"/>
          <w:color w:val="1B2A4A"/>
          <w:sz w:val="20"/>
          <w:szCs w:val="20"/>
        </w:rPr>
        <w:t xml:space="preserve">python app.py</w:t>
      </w:r>
    </w:p>
    <w:p>
      <w:pPr>
        <w:spacing w:before="0" w:after="100"/>
      </w:pPr>
      <w:r>
        <w:rPr>
          <w:rFonts w:ascii="Arial" w:cs="Arial" w:eastAsia="Arial" w:hAnsi="Arial"/>
          <w:color w:val="333333"/>
          <w:sz w:val="22"/>
          <w:szCs w:val="22"/>
        </w:rPr>
        <w:t xml:space="preserve">Then open http://localhost:8050 in a browser.</w:t>
      </w:r>
    </w:p>
    <w:p>
      <w:pPr>
        <w:pStyle w:val="Heading2"/>
        <w:spacing w:before="300" w:after="160"/>
      </w:pPr>
      <w:r>
        <w:t xml:space="preserve">9.3 File Inventory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File</w:t>
            </w:r>
          </w:p>
        </w:tc>
        <w:tc>
          <w:tcPr>
            <w:tcW w:type="dxa" w:w="7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config.py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Central configuration: paths, hyperparameters, feature lists, state config, colors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requirements.txt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Pinned package dependencies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setup.py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Pipeline orchestrator—data generation → GLM → EBM in sequence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data_simulation.py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Synthetic data generation (100K policies, copula, 10-state geography)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baseline_glm.py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Poisson × Gamma GLM (statsmodels, 16 features, exposure offset)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residual_model.py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EBM GA2M residual layer (28 features, risk-neutral normalization)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app.py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Dash web application—4-tab interactive demo</w:t>
            </w:r>
          </w:p>
        </w:tc>
      </w:tr>
    </w:tbl>
    <w:p>
      <w:r>
        <w:br w:type="page"/>
      </w:r>
    </w:p>
    <w:p>
      <w:pPr>
        <w:pStyle w:val="Heading1"/>
        <w:spacing w:before="400" w:after="200"/>
      </w:pPr>
      <w:r>
        <w:t xml:space="preserve">Appendix A: Glossary of Terms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Term</w:t>
            </w:r>
          </w:p>
        </w:tc>
        <w:tc>
          <w:tcPr>
            <w:tcW w:type="dxa" w:w="7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before="0" w:after="0"/>
            </w:pPr>
            <w:r>
              <w:rPr>
                <w:rFonts w:ascii="Arial" w:cs="Arial" w:eastAsia="Arial" w:hAnsi="Arial"/>
                <w:b/>
                <w:bCs/>
                <w:color w:val="1B2A4A"/>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AIC</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Akaike Information Criterion—balances accuracy vs. complexity. Lower = better.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AOI</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Amount of Insurance (Coverage A limit)—drives premium level and severity exposure.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Adverse Selection</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Higher-risk individuals seeking/retaining insurance at inadequate prices.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CAPE Analytics</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Property intelligence vendor (acquired by Moody’s, Jan 2025)—20M+ aerial imagery-based roof scores.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CLUE</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Comprehensive Loss Underwriting Exchange—LexisNexis database of 7-year property claims history.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Corridor</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Bounded range [0.65×, 1.60×] for individual policy adjustments.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Deviance</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GLM equivalent of residual sum of squares. Deviance explained ≈ R² for linear models.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EBM</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Explainable Boosting Machine—InterpretML’s GA2M implementation with exact decomposability.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GA2M</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Generalized Additive Model with pairwise interactions. Learns f(x) + f(x,y) terms.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Gamma Distribution</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Standard severity distribution—right-skewed, positive-valued.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Gini Coefficient</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Model discrimination measure (0 = random, 1 = perfect separation).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Glass-Box</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Model with exact decomposition—no post-hoc SHAP approximation needed.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GLM</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Generalized Linear Model—Poisson (frequency) + Gamma (severity) with log link.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HazardHub</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Guidewire company providing 1,250+ property-level peril data 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Iman-Conover</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Rank-correlation technique preserving marginal distributions with target correlation matrix.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Log Link</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g(μ) = log(μ)—creates multiplicative rating structure.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Loss Ratio</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Claims paid / premium earned. 1.0 = breakeven before expenses.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OOS</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Out-of-sample—metrics on data the model never saw during training.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Poisson Distribution</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Standard frequency distribution for claim counts.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Protection Class</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ISO 1–10 scale for community fire suppression capability.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Pure Premium</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Expected annual loss = frequency × severity. Foundation before expense loading.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R²</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Proportion of variance explained. 0.66 = 66% captured.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Risk Neutrality</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GA2M adjustments sum to zero at book level. Total premium unchanged.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SHAP</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SHapley Additive exPlanations—exact on GLMs, approximate on GBMs.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Shape Function</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Learned univariate curve f(x) in a GAM/GA2M.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WUI</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Wildland-Urban Interface—primary zone for structure-ignition wildfire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ZestyAI</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Climate-analytics vendor with Z-FIRE/Z-HAIL/Z-WIND scores. 70+ DOI approvals.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ΔR²</w:t>
            </w:r>
          </w:p>
        </w:tc>
        <w:tc>
          <w:tcPr>
            <w:tcW w:type="dxa" w:w="7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0" w:after="0"/>
            </w:pPr>
            <w:r>
              <w:rPr>
                <w:rFonts w:ascii="Arial" w:cs="Arial" w:eastAsia="Arial" w:hAnsi="Arial"/>
                <w:b w:val="false"/>
                <w:bCs w:val="false"/>
                <w:color w:val="333333"/>
                <w:sz w:val="20"/>
                <w:szCs w:val="20"/>
              </w:rPr>
              <w:t xml:space="preserve">Incremental variance explained by the GA2M beyond the GLM baseline.</w:t>
            </w:r>
          </w:p>
        </w:tc>
      </w:tr>
    </w:tbl>
    <w:p>
      <w:pPr>
        <w:spacing w:before="0" w:after="100"/>
      </w:pPr>
      <w:r>
        <w:rPr>
          <w:rFonts w:ascii="Arial" w:cs="Arial" w:eastAsia="Arial" w:hAnsi="Arial"/>
          <w:color w:val="333333"/>
          <w:sz w:val="22"/>
          <w:szCs w:val="22"/>
        </w:rPr>
        <w:t xml:space="preserve"/>
      </w:r>
    </w:p>
    <w:p>
      <w:pPr>
        <w:spacing w:before="0" w:after="100"/>
      </w:pPr>
      <w:r>
        <w:rPr>
          <w:rFonts w:ascii="Arial" w:cs="Arial" w:eastAsia="Arial" w:hAnsi="Arial"/>
          <w:i/>
          <w:iCs/>
          <w:color w:val="8D9EAD"/>
          <w:sz w:val="20"/>
          <w:szCs w:val="20"/>
        </w:rPr>
        <w:t xml:space="preserve">© 2026 ValueMomentum Insurance Technology. Confidential. All metrics derived from synthetic demonstration data.</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pBdr>
      <w:tabs>
        <w:tab w:val="right" w:pos="9026"/>
      </w:tabs>
      <w:spacing w:before="80"/>
    </w:pPr>
    <w:r>
      <w:rPr>
        <w:rFonts w:ascii="Arial" w:cs="Arial" w:eastAsia="Arial" w:hAnsi="Arial"/>
        <w:color w:val="8D9EAD"/>
        <w:sz w:val="16"/>
        <w:szCs w:val="16"/>
      </w:rPr>
      <w:t xml:space="preserve">ValueMomentum · Confidential</w:t>
    </w:r>
    <w:r>
      <w:rPr>
        <w:rFonts w:ascii="Arial" w:cs="Arial" w:eastAsia="Arial" w:hAnsi="Arial"/>
        <w:sz w:val="16"/>
        <w:szCs w:val="16"/>
      </w:rPr>
      <w:t xml:space="preserve">	</w:t>
    </w:r>
    <w:r>
      <w:rPr>
        <w:rFonts w:ascii="Arial" w:cs="Arial" w:eastAsia="Arial" w:hAnsi="Arial"/>
        <w:color w:val="8D9EA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D9EAD"/>
        <w:sz w:val="16"/>
        <w:szCs w:val="16"/>
      </w:rPr>
      <w:t xml:space="preserve">Homeowners Intelligence Layer — Reference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2026-03-15T15:28:38.767Z</dcterms:created>
  <dcterms:modified xsi:type="dcterms:W3CDTF">2026-03-15T15:28:38.768Z</dcterms:modified>
</cp:coreProperties>
</file>

<file path=docProps/custom.xml><?xml version="1.0" encoding="utf-8"?>
<Properties xmlns="http://schemas.openxmlformats.org/officeDocument/2006/custom-properties" xmlns:vt="http://schemas.openxmlformats.org/officeDocument/2006/docPropsVTypes"/>
</file>