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ResiScore™</w:t>
      </w:r>
    </w:p>
    <w:p>
      <w:pPr>
        <w:spacing w:after="40"/>
        <w:jc w:val="center"/>
      </w:pPr>
      <w:r>
        <w:rPr>
          <w:rFonts w:ascii="Arial" w:cs="Arial" w:eastAsia="Arial" w:hAnsi="Arial"/>
          <w:color w:val="8D9EAD"/>
          <w:sz w:val="34"/>
          <w:szCs w:val="34"/>
        </w:rPr>
        <w:t xml:space="preserve">Homeowners Intelligence Layer</w:t>
      </w:r>
    </w:p>
    <w:p>
      <w:pPr>
        <w:spacing w:after="20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Technical &amp; Business Reference Manual</w:t>
      </w:r>
    </w:p>
    <w:p>
      <w:pPr>
        <w:pBdr>
          <w:top w:val="single" w:color="C9A84C" w:sz="2" w:space="12"/>
        </w:pBdr>
        <w:spacing w:after="40"/>
        <w:jc w:val="center"/>
      </w:pPr>
      <w:r>
        <w:rPr>
          <w:rFonts w:ascii="Arial" w:cs="Arial" w:eastAsia="Arial" w:hAnsi="Arial"/>
          <w:color w:val="8D9EAD"/>
          <w:sz w:val="22"/>
          <w:szCs w:val="22"/>
        </w:rPr>
        <w:t xml:space="preserve">GLM + GA2M Residual Architecture  ·  Business Development Demo</w:t>
      </w:r>
    </w:p>
    <w:p>
      <w:pPr>
        <w:spacing w:after="40"/>
        <w:jc w:val="center"/>
      </w:pPr>
      <w:r>
        <w:rPr>
          <w:rFonts w:ascii="Arial" w:cs="Arial" w:eastAsia="Arial" w:hAnsi="Arial"/>
          <w:color w:val="8D9EAD"/>
          <w:sz w:val="22"/>
          <w:szCs w:val="22"/>
        </w:rPr>
        <w:t xml:space="preserve">100,000 Synthetic US Homeowners Policies  ·  10-State Geography</w:t>
      </w:r>
    </w:p>
    <w:p>
      <w:pPr>
        <w:spacing w:after="40"/>
        <w:jc w:val="center"/>
      </w:pPr>
      <w:r>
        <w:rPr>
          <w:rFonts w:ascii="Arial" w:cs="Arial" w:eastAsia="Arial" w:hAnsi="Arial"/>
          <w:color w:val="8D9EAD"/>
          <w:sz w:val="22"/>
          <w:szCs w:val="22"/>
        </w:rPr>
        <w:t xml:space="preserve">March 2026  ·  Confidential</w:t>
      </w:r>
    </w:p>
    <w:p>
      <w:pPr>
        <w:spacing w:before="1800"/>
        <w:jc w:val="center"/>
      </w:pPr>
      <w:r>
        <w:rPr>
          <w:rFonts w:ascii="Arial" w:cs="Arial" w:eastAsia="Arial" w:hAnsi="Arial"/>
          <w:i/>
          <w:iCs/>
          <w:color w:val="8D9EAD"/>
          <w:sz w:val="20"/>
          <w:szCs w:val="20"/>
        </w:rPr>
        <w:t xml:space="preserve">For internal stakeholders and carrier prospect audiences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ResiScore™ is a two-layer homeowners risk scoring engine designed to demonstrate how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glass-box intelligence layer</w:t>
      </w:r>
      <w:r>
        <w:rPr>
          <w:rFonts w:ascii="Arial" w:cs="Arial" w:eastAsia="Arial" w:hAnsi="Arial"/>
          <w:sz w:val="22"/>
          <w:szCs w:val="22"/>
        </w:rPr>
        <w:t xml:space="preserve"> can capture pricing signal that traditional actuarial models structurally cannot. </w:t>
      </w:r>
      <w:r>
        <w:rPr>
          <w:rFonts w:ascii="Arial" w:cs="Arial" w:eastAsia="Arial" w:hAnsi="Arial"/>
          <w:sz w:val="22"/>
          <w:szCs w:val="22"/>
        </w:rPr>
        <w:t xml:space="preserve">The platform targets carrier senior stakeholders—VP Analytics, Chief Actuaries, and Heads of Pricing—</w:t>
      </w:r>
      <w:r>
        <w:rPr>
          <w:rFonts w:ascii="Arial" w:cs="Arial" w:eastAsia="Arial" w:hAnsi="Arial"/>
          <w:sz w:val="22"/>
          <w:szCs w:val="22"/>
        </w:rPr>
        <w:t xml:space="preserve">and provides a live, interactive demonstration of incremental predictive lift with full regulatory transparency.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architecture pairs a standard-of-practice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Poisson × Gamma Generalized Linear Model (GLM)</w:t>
      </w:r>
      <w:r>
        <w:rPr>
          <w:rFonts w:ascii="Arial" w:cs="Arial" w:eastAsia="Arial" w:hAnsi="Arial"/>
          <w:sz w:val="22"/>
          <w:szCs w:val="22"/>
        </w:rPr>
        <w:t xml:space="preserve"> baseline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Generalized Additive Model with pairwise interactions (GA2M)</w:t>
      </w:r>
      <w:r>
        <w:rPr>
          <w:rFonts w:ascii="Arial" w:cs="Arial" w:eastAsia="Arial" w:hAnsi="Arial"/>
          <w:sz w:val="22"/>
          <w:szCs w:val="22"/>
        </w:rPr>
        <w:t xml:space="preserve"> trained on the GLM’s log-scale residuals. The GA2M—implemented via InterpretML’s Explainable Boosting Machine (EBM)—recovers </w:t>
      </w:r>
      <w:r>
        <w:rPr>
          <w:rFonts w:ascii="Arial" w:cs="Arial" w:eastAsia="Arial" w:hAnsi="Arial"/>
          <w:sz w:val="22"/>
          <w:szCs w:val="22"/>
        </w:rPr>
        <w:t xml:space="preserve">non-linear risk curves and compounding pairwise interaction effects that the GLM’s log-linear structure cannot represent, </w:t>
      </w:r>
      <w:r>
        <w:rPr>
          <w:rFonts w:ascii="Arial" w:cs="Arial" w:eastAsia="Arial" w:hAnsi="Arial"/>
          <w:sz w:val="22"/>
          <w:szCs w:val="22"/>
        </w:rPr>
        <w:t xml:space="preserve">regardless of how well the GLM is built.</w:t>
      </w:r>
    </w:p>
    <w:p>
      <w:pPr>
        <w:pBdr>
          <w:left w:val="single" w:color="2EC4B6" w:sz="8" w:space="8"/>
        </w:pBdr>
        <w:shd w:fill="EBF5FB" w:val="clear"/>
        <w:spacing w:before="120" w:after="120"/>
        <w:ind w:left="240" w:right="2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 Result: The GA2M intelligence layer recovers an incremental ΔR² of 0.07–0.12 on out-of-sample data, representing 20–30% of the GLM’s unexplained variance—while maintaining exact book-level premium neutrality (E_w[uplift] = 1.0). Every prediction decomposes into auditable, per-feature contributions without post-hoc approximation.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demo operates on 100,000 synthetic homeowners policies across 10 US states, generated with realistic </w:t>
      </w:r>
      <w:r>
        <w:rPr>
          <w:rFonts w:ascii="Arial" w:cs="Arial" w:eastAsia="Arial" w:hAnsi="Arial"/>
          <w:sz w:val="22"/>
          <w:szCs w:val="22"/>
        </w:rPr>
        <w:t xml:space="preserve">inter-feature correlations, state-conditional peril distributions, and non-linear risk shapes embedded directly </w:t>
      </w:r>
      <w:r>
        <w:rPr>
          <w:rFonts w:ascii="Arial" w:cs="Arial" w:eastAsia="Arial" w:hAnsi="Arial"/>
          <w:sz w:val="22"/>
          <w:szCs w:val="22"/>
        </w:rPr>
        <w:t xml:space="preserve">in the claim-generating process. All data is synthetic—no proprietary carrier data is used.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The Problem: Why Legacy GLMs Hit a Structural Ceiling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Poisson × Gamma GLM with log link has been the standard homeowners pricing model for decades. It produces </w:t>
      </w:r>
      <w:r>
        <w:rPr>
          <w:rFonts w:ascii="Arial" w:cs="Arial" w:eastAsia="Arial" w:hAnsi="Arial"/>
          <w:sz w:val="22"/>
          <w:szCs w:val="22"/>
        </w:rPr>
        <w:t xml:space="preserve">multiplicative rating factors that regulators universally accept, and its coefficients translate directly into </w:t>
      </w:r>
      <w:r>
        <w:rPr>
          <w:rFonts w:ascii="Arial" w:cs="Arial" w:eastAsia="Arial" w:hAnsi="Arial"/>
          <w:sz w:val="22"/>
          <w:szCs w:val="22"/>
        </w:rPr>
        <w:t xml:space="preserve">filed rate relativities. However, three architectural constraints limit its predictive power regardless of </w:t>
      </w:r>
      <w:r>
        <w:rPr>
          <w:rFonts w:ascii="Arial" w:cs="Arial" w:eastAsia="Arial" w:hAnsi="Arial"/>
          <w:sz w:val="22"/>
          <w:szCs w:val="22"/>
        </w:rPr>
        <w:t xml:space="preserve">variable selection, sample size, or engineering effort.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The Linearity Constraint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log-link forces every feature effect to be linear in log-premium space. In reality, many homeowners risk </w:t>
      </w:r>
      <w:r>
        <w:rPr>
          <w:rFonts w:ascii="Arial" w:cs="Arial" w:eastAsia="Arial" w:hAnsi="Arial"/>
          <w:sz w:val="22"/>
          <w:szCs w:val="22"/>
        </w:rPr>
        <w:t xml:space="preserve">relationships are non-linear. Wildfire exposure, for example, is nearly flat below a threshold (Verisk FireLine score 2), </w:t>
      </w:r>
      <w:r>
        <w:rPr>
          <w:rFonts w:ascii="Arial" w:cs="Arial" w:eastAsia="Arial" w:hAnsi="Arial"/>
          <w:sz w:val="22"/>
          <w:szCs w:val="22"/>
        </w:rPr>
        <w:t xml:space="preserve">then accelerates convexly in the wildland-urban interface. Roof vulnerability follows a quadratic degradation curve—</w:t>
      </w:r>
      <w:r>
        <w:rPr>
          <w:rFonts w:ascii="Arial" w:cs="Arial" w:eastAsia="Arial" w:hAnsi="Arial"/>
          <w:sz w:val="22"/>
          <w:szCs w:val="22"/>
        </w:rPr>
        <w:t xml:space="preserve">young roofs degrade slowly, while aged roofs compound granule loss, UV damage, and micro-fractures exponentially. </w:t>
      </w:r>
      <w:r>
        <w:rPr>
          <w:rFonts w:ascii="Arial" w:cs="Arial" w:eastAsia="Arial" w:hAnsi="Arial"/>
          <w:sz w:val="22"/>
          <w:szCs w:val="22"/>
        </w:rPr>
        <w:t xml:space="preserve">The GLM approximates these curves with straight lines, systematically under-penalizing high-risk tails and </w:t>
      </w:r>
      <w:r>
        <w:rPr>
          <w:rFonts w:ascii="Arial" w:cs="Arial" w:eastAsia="Arial" w:hAnsi="Arial"/>
          <w:sz w:val="22"/>
          <w:szCs w:val="22"/>
        </w:rPr>
        <w:t xml:space="preserve">over-penalizing moderate-risk midranges.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The Additive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GLM rating factors multiply independently. When a property has both high wildfire exposure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</w:t>
      </w:r>
      <w:r>
        <w:rPr>
          <w:rFonts w:ascii="Arial" w:cs="Arial" w:eastAsia="Arial" w:hAnsi="Arial"/>
          <w:sz w:val="22"/>
          <w:szCs w:val="22"/>
        </w:rPr>
        <w:t xml:space="preserve"> a deteriorated roof, the GLM prices each factor separately and multiplies them. </w:t>
      </w:r>
      <w:r>
        <w:rPr>
          <w:rFonts w:ascii="Arial" w:cs="Arial" w:eastAsia="Arial" w:hAnsi="Arial"/>
          <w:sz w:val="22"/>
          <w:szCs w:val="22"/>
        </w:rPr>
        <w:t xml:space="preserve">But the actual risk is super-multiplicative—embers from a wildfire exploit gaps in deteriorated roofing material, </w:t>
      </w:r>
      <w:r>
        <w:rPr>
          <w:rFonts w:ascii="Arial" w:cs="Arial" w:eastAsia="Arial" w:hAnsi="Arial"/>
          <w:sz w:val="22"/>
          <w:szCs w:val="22"/>
        </w:rPr>
        <w:t xml:space="preserve">creating a compounding ignition risk that exceeds the product of independent factors. </w:t>
      </w:r>
      <w:r>
        <w:rPr>
          <w:rFonts w:ascii="Arial" w:cs="Arial" w:eastAsia="Arial" w:hAnsi="Arial"/>
          <w:sz w:val="22"/>
          <w:szCs w:val="22"/>
        </w:rPr>
        <w:t xml:space="preserve">Six such interaction effects have been documented in the actuarial literature, representing an additional </w:t>
      </w:r>
      <w:r>
        <w:rPr>
          <w:rFonts w:ascii="Arial" w:cs="Arial" w:eastAsia="Arial" w:hAnsi="Arial"/>
          <w:sz w:val="22"/>
          <w:szCs w:val="22"/>
        </w:rPr>
        <w:t xml:space="preserve">7–12 percentage points of pure premium variance that additive models leave on the table.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2.3 The Static Variable Limitation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Temporal risk signals—water loss recency, daily wildfire indices, satellite-derived roof condition updates—</w:t>
      </w:r>
      <w:r>
        <w:rPr>
          <w:rFonts w:ascii="Arial" w:cs="Arial" w:eastAsia="Arial" w:hAnsi="Arial"/>
          <w:sz w:val="22"/>
          <w:szCs w:val="22"/>
        </w:rPr>
        <w:t xml:space="preserve">enter the GLM only as coarse annual snapshots or static bands. The exponential decay of water-loss recency </w:t>
      </w:r>
      <w:r>
        <w:rPr>
          <w:rFonts w:ascii="Arial" w:cs="Arial" w:eastAsia="Arial" w:hAnsi="Arial"/>
          <w:sz w:val="22"/>
          <w:szCs w:val="22"/>
        </w:rPr>
        <w:t xml:space="preserve">(a claim from 3 months ago is 4× more predictive than one from 3 years ago) is compressed into a binary </w:t>
      </w:r>
      <w:r>
        <w:rPr>
          <w:rFonts w:ascii="Arial" w:cs="Arial" w:eastAsia="Arial" w:hAnsi="Arial"/>
          <w:sz w:val="22"/>
          <w:szCs w:val="22"/>
        </w:rPr>
        <w:t xml:space="preserve">“prior claim yes/no” in most filed GLMs.</w:t>
      </w:r>
    </w:p>
    <w:p>
      <w:pPr>
        <w:pBdr>
          <w:left w:val="single" w:color="2EC4B6" w:sz="8" w:space="8"/>
        </w:pBdr>
        <w:shd w:fill="FFF8EF" w:val="clear"/>
        <w:spacing w:before="120" w:after="120"/>
        <w:ind w:left="240" w:right="2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net effect: approximately 35–45% of pure premium variance remains structurally unexplained by even a well-constructed GLM. This is the addressable residual—the signal that ResiScore™ is designed to recover.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The Solution: Two-Layer Pricing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ResiScore™ does not replace the carrier’s GLM—it augments it. The architecture follows the well-established </w:t>
      </w:r>
      <w:r>
        <w:rPr>
          <w:rFonts w:ascii="Arial" w:cs="Arial" w:eastAsia="Arial" w:hAnsi="Arial"/>
          <w:sz w:val="22"/>
          <w:szCs w:val="22"/>
        </w:rPr>
        <w:t xml:space="preserve">“GLM Improver” pattern documented in CAS E-Forum literature (Dai, 2018): fit a strong GLM baseline, then fit </w:t>
      </w:r>
      <w:r>
        <w:rPr>
          <w:rFonts w:ascii="Arial" w:cs="Arial" w:eastAsia="Arial" w:hAnsi="Arial"/>
          <w:sz w:val="22"/>
          <w:szCs w:val="22"/>
        </w:rPr>
        <w:t xml:space="preserve">an interpretable model on the GLM’s residuals to capture what the linear structure missed.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Layer 1: Baseline GLM (Poisson × Gamma)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baseline is a standard Poisson frequency × Gamma severity GLM trained with statsmodels for full actuarial diagnostics </w:t>
      </w:r>
      <w:r>
        <w:rPr>
          <w:rFonts w:ascii="Arial" w:cs="Arial" w:eastAsia="Arial" w:hAnsi="Arial"/>
          <w:sz w:val="22"/>
          <w:szCs w:val="22"/>
        </w:rPr>
        <w:t xml:space="preserve">(deviance, AIC, BIC, coefficient p-values, confidence intervals). It uses 16 features: 12 industry-standard main effects </w:t>
      </w:r>
      <w:r>
        <w:rPr>
          <w:rFonts w:ascii="Arial" w:cs="Arial" w:eastAsia="Arial" w:hAnsi="Arial"/>
          <w:sz w:val="22"/>
          <w:szCs w:val="22"/>
        </w:rPr>
        <w:t xml:space="preserve">plus 4 engineered interaction terms that a competent actuarial team would already include.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log E[Freqᵢ] = β₀ + β₁x₁ + ... + βₖxₖ + log(AOI / 100K)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log E[Sevᵢ]  = γ₀ + γ₁x₁ + ... + γₖxₖ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GLM Pure Premiumᵢ = Freqᵢ × Sevᵢ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exposure offset (AOI / $100K) ensures the frequency model correctly attributes coverage-level variation to AOI </w:t>
      </w:r>
      <w:r>
        <w:rPr>
          <w:rFonts w:ascii="Arial" w:cs="Arial" w:eastAsia="Arial" w:hAnsi="Arial"/>
          <w:sz w:val="22"/>
          <w:szCs w:val="22"/>
        </w:rPr>
        <w:t xml:space="preserve">as a rating factor rather than absorbing it into the intercept. The severity model is fitted on claim-bearing policies </w:t>
      </w:r>
      <w:r>
        <w:rPr>
          <w:rFonts w:ascii="Arial" w:cs="Arial" w:eastAsia="Arial" w:hAnsi="Arial"/>
          <w:sz w:val="22"/>
          <w:szCs w:val="22"/>
        </w:rPr>
        <w:t xml:space="preserve">only, weighted by claim count, with no exposure offset (severity is per-claim, not per-coverage-unit).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Layer 2: GA2M Residual Intelligence (EBM)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intelligence layer trains an Explainable Boosting Machine (EBM)—a type of Generalized Additive Model with </w:t>
      </w:r>
      <w:r>
        <w:rPr>
          <w:rFonts w:ascii="Arial" w:cs="Arial" w:eastAsia="Arial" w:hAnsi="Arial"/>
          <w:sz w:val="22"/>
          <w:szCs w:val="22"/>
        </w:rPr>
        <w:t xml:space="preserve">pairwise interactions (GA2M)—on the log-scale residual of the GLM: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εᵢ = log(True Premiumᵢ) − log(GLM Premiumᵢ)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log-scale target ensures that the GA2M learns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multiplicative uplift factor</w:t>
      </w:r>
      <w:r>
        <w:rPr>
          <w:rFonts w:ascii="Arial" w:cs="Arial" w:eastAsia="Arial" w:hAnsi="Arial"/>
          <w:sz w:val="22"/>
          <w:szCs w:val="22"/>
        </w:rPr>
        <w:t xml:space="preserve">—not a dollar adjustment—preserving the actuarial convention of relativities. </w:t>
      </w:r>
      <w:r>
        <w:rPr>
          <w:rFonts w:ascii="Arial" w:cs="Arial" w:eastAsia="Arial" w:hAnsi="Arial"/>
          <w:sz w:val="22"/>
          <w:szCs w:val="22"/>
        </w:rPr>
        <w:t xml:space="preserve">The learned function decomposes exactly into smooth univariate shape functions and pairwise interaction surfaces: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g(εᵢ) = β₀ + Σⱼ fⱼ(xⱼ) + Σⱼ&lt;ₗ fⱼₗ(xⱼ, xₗ)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final premium applies a bounded corridor and risk-neutrality normalization: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Final PPᵢ = GLM PPᵢ × exp( clip(ĝᵢ, log(0.65), log(1.60)) ) / Z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Z is a normalization constant ensuring the GLM-premium-weighted mean uplift equals exactly 1.0.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Why GA2M Over Black-Box GBM?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industry-standard approach uses gradient-boosted machines (GBM/XGBoost) on GLM residuals with SHAP for post-hoc </w:t>
      </w:r>
      <w:r>
        <w:rPr>
          <w:rFonts w:ascii="Arial" w:cs="Arial" w:eastAsia="Arial" w:hAnsi="Arial"/>
          <w:sz w:val="22"/>
          <w:szCs w:val="22"/>
        </w:rPr>
        <w:t xml:space="preserve">explainability. ResiScore™ uses the GA2M/EBM instead because the explanation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the model—not an approximation of it. Every EBM prediction decomposes into per-feature contributions with </w:t>
      </w:r>
      <w:r>
        <w:rPr>
          <w:rFonts w:ascii="Arial" w:cs="Arial" w:eastAsia="Arial" w:hAnsi="Arial"/>
          <w:sz w:val="22"/>
          <w:szCs w:val="22"/>
        </w:rPr>
        <w:t xml:space="preserve">mathematical exactness, unlike SHAP applied to black-box models which provides statistical estimates with approximation error. </w:t>
      </w:r>
      <w:r>
        <w:rPr>
          <w:rFonts w:ascii="Arial" w:cs="Arial" w:eastAsia="Arial" w:hAnsi="Arial"/>
          <w:sz w:val="22"/>
          <w:szCs w:val="22"/>
        </w:rPr>
        <w:t xml:space="preserve">For regulatory audiences, this distinction matters: an EBM coefficient table is a rate filing; a SHAP summary is a consultant’s interpretation.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Risk Neutrality: Redistribution, Not Inflation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critical property of the ResiScore™ architecture is that the GA2M layer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redistributes premium across the portfolio without changing the total book premium</w:t>
      </w:r>
      <w:r>
        <w:rPr>
          <w:rFonts w:ascii="Arial" w:cs="Arial" w:eastAsia="Arial" w:hAnsi="Arial"/>
          <w:sz w:val="22"/>
          <w:szCs w:val="22"/>
        </w:rPr>
        <w:t xml:space="preserve">. This is enforced mathematically, not assumed.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The Normalization Mechanism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the EBM produces raw uplift predictions and the corridor clip is applied, the uplift factors are normalized so that </w:t>
      </w:r>
      <w:r>
        <w:rPr>
          <w:rFonts w:ascii="Arial" w:cs="Arial" w:eastAsia="Arial" w:hAnsi="Arial"/>
          <w:sz w:val="22"/>
          <w:szCs w:val="22"/>
        </w:rPr>
        <w:t xml:space="preserve">the GLM-premium-weighted mean equals 1.0: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normalized_upliftᵢ = raw_upliftᵢ / Σⱼ (GLM_PPⱼ × raw_upliftⱼ) ÷ Σⱼ GLM_PPⱼ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guarantees: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Σᵢ (GLM_PPᵢ × normalized_upliftᵢ) = Σᵢ GLM_PPᵢ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words: total book premium after intelligence adjustment equals total book premium before. </w:t>
      </w:r>
      <w:r>
        <w:rPr>
          <w:rFonts w:ascii="Arial" w:cs="Arial" w:eastAsia="Arial" w:hAnsi="Arial"/>
          <w:sz w:val="22"/>
          <w:szCs w:val="22"/>
        </w:rPr>
        <w:t xml:space="preserve">The demo verifies this identity to machine precision (tolerance &lt; 10⁻⁶) and displays it as a KPI card in the Business Case tab.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Why This Matters for Carriers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Premium neutrality addresses the most common carrier objection to intelligence overlays: “Does this raise everyone’s rates?” </w:t>
      </w:r>
      <w:r>
        <w:rPr>
          <w:rFonts w:ascii="Arial" w:cs="Arial" w:eastAsia="Arial" w:hAnsi="Arial"/>
          <w:sz w:val="22"/>
          <w:szCs w:val="22"/>
        </w:rPr>
        <w:t xml:space="preserve">The answer is definitively no. Policies that the GLM underprices receive surcharges; policies the GLM overprices receive credits. </w:t>
      </w:r>
      <w:r>
        <w:rPr>
          <w:rFonts w:ascii="Arial" w:cs="Arial" w:eastAsia="Arial" w:hAnsi="Arial"/>
          <w:sz w:val="22"/>
          <w:szCs w:val="22"/>
        </w:rPr>
        <w:t xml:space="preserve">The net effect is zero at the book level. The intelligence layer improves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distribution</w:t>
      </w:r>
      <w:r>
        <w:rPr>
          <w:rFonts w:ascii="Arial" w:cs="Arial" w:eastAsia="Arial" w:hAnsi="Arial"/>
          <w:sz w:val="22"/>
          <w:szCs w:val="22"/>
        </w:rPr>
        <w:t xml:space="preserve"> of premium, not 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level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The Bounded Corridor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Individual policy adjustments are constrained to a [0.65×, 1.60×] corridor. The asymmetry is intentional: </w:t>
      </w:r>
      <w:r>
        <w:rPr>
          <w:rFonts w:ascii="Arial" w:cs="Arial" w:eastAsia="Arial" w:hAnsi="Arial"/>
          <w:sz w:val="22"/>
          <w:szCs w:val="22"/>
        </w:rPr>
        <w:t xml:space="preserve">underpriced risks pose greater adverse selection danger than overpriced risks (competitors will cream-skim your </w:t>
      </w:r>
      <w:r>
        <w:rPr>
          <w:rFonts w:ascii="Arial" w:cs="Arial" w:eastAsia="Arial" w:hAnsi="Arial"/>
          <w:sz w:val="22"/>
          <w:szCs w:val="22"/>
        </w:rPr>
        <w:t xml:space="preserve">overpriced low-risk policies, but not your underpriced high-risk ones), so the corridor allows larger upward corrections. </w:t>
      </w:r>
      <w:r>
        <w:rPr>
          <w:rFonts w:ascii="Arial" w:cs="Arial" w:eastAsia="Arial" w:hAnsi="Arial"/>
          <w:sz w:val="22"/>
          <w:szCs w:val="22"/>
        </w:rPr>
        <w:t xml:space="preserve">The corridor bounds are configurable and would be calibrated to carrier risk appetite in a production deployment.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Synthetic Data Generation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demo operates on 100,000 synthetic homeowners policies generated with a controlled data-generating process (DGP) </w:t>
      </w:r>
      <w:r>
        <w:rPr>
          <w:rFonts w:ascii="Arial" w:cs="Arial" w:eastAsia="Arial" w:hAnsi="Arial"/>
          <w:sz w:val="22"/>
          <w:szCs w:val="22"/>
        </w:rPr>
        <w:t xml:space="preserve">designed to embed realistic actuarial patterns. The DGP ensures that the GLM and GA2M each recover the signal they are </w:t>
      </w:r>
      <w:r>
        <w:rPr>
          <w:rFonts w:ascii="Arial" w:cs="Arial" w:eastAsia="Arial" w:hAnsi="Arial"/>
          <w:sz w:val="22"/>
          <w:szCs w:val="22"/>
        </w:rPr>
        <w:t xml:space="preserve">designed to capture, at calibrated R² targets, without using proprietary carrier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Geographic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policy is assigned to one of 10 US states (CA, TX, FL, NY, CO, OK, LA, MA, WA, GA) plus an “Other” category, </w:t>
      </w:r>
      <w:r>
        <w:rPr>
          <w:rFonts w:ascii="Arial" w:cs="Arial" w:eastAsia="Arial" w:hAnsi="Arial"/>
          <w:sz w:val="22"/>
          <w:szCs w:val="22"/>
        </w:rPr>
        <w:t xml:space="preserve">with portfolio weights reflecting state-level market size. Peril exposure features are generated conditionally on state: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800"/>
        <w:gridCol w:w="11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Wildfire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Hail 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Flood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AOI Mult.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bimodal (70/30 WUI split)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 (hail belt)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 (flood state)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bimodal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(hail belt)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(hail belt)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 (flood state)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bimodal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0.90×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Credit score is suppressed (set to portfolio median 700) for CA and MA policies to simulate </w:t>
      </w:r>
      <w:r>
        <w:rPr>
          <w:rFonts w:ascii="Arial" w:cs="Arial" w:eastAsia="Arial" w:hAnsi="Arial"/>
          <w:sz w:val="22"/>
          <w:szCs w:val="22"/>
        </w:rPr>
        <w:t xml:space="preserve">state-level regulatory restrictions—a real-world compliance constraint that the demo surfaces with a visual indicator.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Inter-Feature Correlations (Gaussian Copula)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Real homeowners data exhibits strong correlations between features. A property’s roof age correlates with dwelling age </w:t>
      </w:r>
      <w:r>
        <w:rPr>
          <w:rFonts w:ascii="Arial" w:cs="Arial" w:eastAsia="Arial" w:hAnsi="Arial"/>
          <w:sz w:val="22"/>
          <w:szCs w:val="22"/>
        </w:rPr>
        <w:t xml:space="preserve">(ρ ≈ 0.80), amount of insurance tracks square footage (ρ ≈ 0.85), and wildfire exposure correlates with tree canopy density </w:t>
      </w:r>
      <w:r>
        <w:rPr>
          <w:rFonts w:ascii="Arial" w:cs="Arial" w:eastAsia="Arial" w:hAnsi="Arial"/>
          <w:sz w:val="22"/>
          <w:szCs w:val="22"/>
        </w:rPr>
        <w:t xml:space="preserve">(ρ ≈ 0.38). The DGP implements an Iman-Conover rank correlation procedure—a Gaussian copula surrogate—across 19 </w:t>
      </w:r>
      <w:r>
        <w:rPr>
          <w:rFonts w:ascii="Arial" w:cs="Arial" w:eastAsia="Arial" w:hAnsi="Arial"/>
          <w:sz w:val="22"/>
          <w:szCs w:val="22"/>
        </w:rPr>
        <w:t xml:space="preserve">continuous and ordinal features to impose these correlations while preserving each feature’s marginal distribution exactly.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Non-Linear Risk Shapes in the Claim-Generating Process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Non-linear relationships are embedded directly in the claim frequency equation, not just the premium formula. </w:t>
      </w:r>
      <w:r>
        <w:rPr>
          <w:rFonts w:ascii="Arial" w:cs="Arial" w:eastAsia="Arial" w:hAnsi="Arial"/>
          <w:sz w:val="22"/>
          <w:szCs w:val="22"/>
        </w:rPr>
        <w:t xml:space="preserve">This means the patterns exist in the raw claim data before any model touches it. The following shapes are encoded: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Actuarial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 Exposure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(flat &lt;30, accelerating &gt;30)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Verisk FireLine: scores 0–2 standard market, 3+ restricted, 9+ uninsurable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 Vulnerability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((score/20)²)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 Analytics: severe/poor roofs have 400% wind/hail loss ratio vs. 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Hydrant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 (diminishing)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split-class mechanics: first 0.5 mi critical, flattens beyond 3 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threshold (&lt;60%)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Pre-2000 vs. post-2000 building code era boundary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Loss Recency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decay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CLUE data: claims within 12 months = 1.6× repeat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Diminishing returns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 loss ratio differential best-to-worst, flattening above 780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5.4 Variance Budget and R² Calibration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DGP decomposes log-premium variance into three components with controlled scalars: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7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Scalar (σ)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(σ²)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signal (GLM-accessible)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0.1444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effects the GLM fully recovers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signal (GA2M-only)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0.0196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+ interaction effects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Irreducible noise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0.0441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randomness, behavioral unpredictability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0.2081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theoretical R² ≈ 0.79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produces target R² ranges of 0.58–0.65 for the GLM alone and 0.67–0.75 for the combined model, </w:t>
      </w:r>
      <w:r>
        <w:rPr>
          <w:rFonts w:ascii="Arial" w:cs="Arial" w:eastAsia="Arial" w:hAnsi="Arial"/>
          <w:sz w:val="22"/>
          <w:szCs w:val="22"/>
        </w:rPr>
        <w:t xml:space="preserve">with the GA2M contributing an incremental ΔR² of 0.07–0.12.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Feature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GLM Features (16 Total)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GLM uses 12 main-effect rating variables universally found in production homeowners rate filings, plus 4 engineered </w:t>
      </w:r>
      <w:r>
        <w:rPr>
          <w:rFonts w:ascii="Arial" w:cs="Arial" w:eastAsia="Arial" w:hAnsi="Arial"/>
          <w:sz w:val="22"/>
          <w:szCs w:val="22"/>
        </w:rPr>
        <w:t xml:space="preserve">interaction terms that a well-constructed legacy GLM would include.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6.1.1 Main Effects (12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Dwelling 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2026 − Year_Built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Universal—proxy for building code 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Footage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Log-transformed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correlate via Coverage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CLUE Loss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(0–8)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claims 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LexisNexis CLUE—90% carrier participation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(300–850)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predictor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FICO/LexisNexis—85% of carriers use where legal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/ Masonry / Fire Resistive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construction codes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(1–10)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PPC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Suppression Rating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Insurance (Coverage 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severity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($)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 / $1K / $2K / $5K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 hazard / selection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Territory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/ Suburban / Rural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risk aggregation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 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(1–30 yrs)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Applicant-reported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BuildFax / CAPE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Alarm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discount—universally filed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Burglar Alarm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discount—universally filed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6.1.2 Engineered Interactions (4 terms)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Actuarial 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× High 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(Frame) &amp; (PC &gt; 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ISO named interaction: frame vs. masonry is 8% in good areas, 20% in poor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× Low Deductible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(CLUE ≥ 2) &amp; (Ded ≤ $500)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 claimants choosing lowest deductible = adverse selection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× High 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(Urban) &amp; (PC &gt; 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areas with anomalously poor fire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Roof × Hail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(Roof &gt; 20yr) &amp; (Hail ≥ 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micro-damage on aging roofs in hail corridors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GA2M Features (28 Total)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GA2M receives all 12 GLM main effects (to learn their non-linear residual patterns) plus 13 modern enrichment features </w:t>
      </w:r>
      <w:r>
        <w:rPr>
          <w:rFonts w:ascii="Arial" w:cs="Arial" w:eastAsia="Arial" w:hAnsi="Arial"/>
          <w:sz w:val="22"/>
          <w:szCs w:val="22"/>
        </w:rPr>
        <w:t xml:space="preserve">and 3 derived features. It also learns 15 pairwise interactions: 6 forced (matching the DGP) plus 9 auto-discovered by the EBM’s FAST algorithm.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6.2.1 Modern Enrichment Features (13 new signals)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Narrative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Non-Linear Shape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 Vulnerability (Satellite)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 Analytics / Betterview aerial AI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Convex—accelerating above score 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 Exposure (Daily)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ZestyAI Z-FIRE style index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Convex—flat &lt;30, accelerating &gt;50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Loss Recency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Verisk CLUE real-time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decay—recent = high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RCV vs. Appraised gap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Verisk 360Value / e2Value MLS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above 0 (overstatement = risk)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Hydrant Distance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HazardHub / ISO PPC sub-data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Logarithmic—diminishing beyond 1 mile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Canopy Density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 / Nearmap NDVI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 (wind/water exposure)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 Severity Index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HazardHub / ADT crime 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linear (theft/arson)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Pluvial Flood Depth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Street Foundation DEM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above 15 inches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Code Compliance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records / ATTOM 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threshold below 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Slope Steepness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DEM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above 20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Attic Ventilation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Appraisal / inspection 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(Poor = risk)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Hail Frequency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SPC / HazardHub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Liquefaction Risk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 seismic hazard maps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(Low/Mod/High)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6.2.2 Derived Features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Dwelling 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2026 − Year_Built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interpretable than raw year for non-linear age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RCV Overstatement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max(0, AOI − RCV_Appraised)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moral hazard gap for RCV × Crime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AOI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log(AOI)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Stabilizes right tail for interaction terms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6.2.3 Forced Pairwise Interactions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Pair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Mechanism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ΔR² Contribution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Wildfire × Roof Vulnerability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Ember ignition on deteriorated roofs—super-multiplicative WUI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+4–6%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Recency × Tree Canopy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intrusion and moisture retention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+2–3%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RCV Overstatement × Crime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 hazard: overvalued property in high-crime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+1–2%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Pluvial Flood × Dwelling 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Pre-code foundations lack modern waterproofing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+1–1.5%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Slope × Wildfire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Post-fire debris flow (Montecito-type cascade)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+0.5–1%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Hail Frequency × Roof Vulnerability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micro-damage on aging roofs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+0.5–1%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Model Training Pipeline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7.1 Train/Test Split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dataset is split 80/20 (stratified by risk tier) with a fixed random seed for reproducibility. The split is propagated </w:t>
      </w:r>
      <w:r>
        <w:rPr>
          <w:rFonts w:ascii="Arial" w:cs="Arial" w:eastAsia="Arial" w:hAnsi="Arial"/>
          <w:sz w:val="22"/>
          <w:szCs w:val="22"/>
        </w:rPr>
        <w:t xml:space="preserve">via a “Split” column in the CSV, ensuring the GLM and GA2M train on identical subsets.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performance metrics displayed in the demo are computed on the held-out 20% test set (N ≈ 20,000).</w:t>
      </w:r>
      <w:r>
        <w:rPr>
          <w:rFonts w:ascii="Arial" w:cs="Arial" w:eastAsia="Arial" w:hAnsi="Arial"/>
          <w:sz w:val="22"/>
          <w:szCs w:val="22"/>
        </w:rPr>
        <w:t xml:space="preserve"> In-sample metrics are reported during training for diagnostic purposes but are never shown in the demo UI.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7.2 GLM Training (statsmodels)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frequency model is fitted using statsmodels GLM with Poisson family and log link, with an AOI-based exposure offset. </w:t>
      </w:r>
      <w:r>
        <w:rPr>
          <w:rFonts w:ascii="Arial" w:cs="Arial" w:eastAsia="Arial" w:hAnsi="Arial"/>
          <w:sz w:val="22"/>
          <w:szCs w:val="22"/>
        </w:rPr>
        <w:t xml:space="preserve">The severity model uses Gamma family with log link, fitted on claim-bearing policies only and weighted by claim count. </w:t>
      </w:r>
      <w:r>
        <w:rPr>
          <w:rFonts w:ascii="Arial" w:cs="Arial" w:eastAsia="Arial" w:hAnsi="Arial"/>
          <w:sz w:val="22"/>
          <w:szCs w:val="22"/>
        </w:rPr>
        <w:t xml:space="preserve">A sklearn ColumnTransformer handles preprocessing (StandardScaler for numeric, OneHotEncoder with drop=‘first’ for categorical). </w:t>
      </w:r>
      <w:r>
        <w:rPr>
          <w:rFonts w:ascii="Arial" w:cs="Arial" w:eastAsia="Arial" w:hAnsi="Arial"/>
          <w:sz w:val="22"/>
          <w:szCs w:val="22"/>
        </w:rPr>
        <w:t xml:space="preserve">The preprocessor and both GLM wrappers are saved as separate pickle artifacts.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Full statsmodels diagnostics are printed during training: deviance explained, AIC, BIC, and a coefficient table with </w:t>
      </w:r>
      <w:r>
        <w:rPr>
          <w:rFonts w:ascii="Arial" w:cs="Arial" w:eastAsia="Arial" w:hAnsi="Arial"/>
          <w:sz w:val="22"/>
          <w:szCs w:val="22"/>
        </w:rPr>
        <w:t xml:space="preserve">significance stars (∗∗∗ for p &lt; 0.001, ∗∗ for p &lt; 0.01, ∗ for p &lt; 0.05). These diagnostics are available for </w:t>
      </w:r>
      <w:r>
        <w:rPr>
          <w:rFonts w:ascii="Arial" w:cs="Arial" w:eastAsia="Arial" w:hAnsi="Arial"/>
          <w:sz w:val="22"/>
          <w:szCs w:val="22"/>
        </w:rPr>
        <w:t xml:space="preserve">the Framework tab’s regulatory narrative.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7.3 GA2M / EBM Training (InterpretML)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EBM is trained on the log-scale GLM residual using all 28 features. The interaction strategy attempts to force 6 </w:t>
      </w:r>
      <w:r>
        <w:rPr>
          <w:rFonts w:ascii="Arial" w:cs="Arial" w:eastAsia="Arial" w:hAnsi="Arial"/>
          <w:sz w:val="22"/>
          <w:szCs w:val="22"/>
        </w:rPr>
        <w:t xml:space="preserve">must-include pairs while auto-discovering 9 additional pairs. If the InterpretML version does not support mixed interaction </w:t>
      </w:r>
      <w:r>
        <w:rPr>
          <w:rFonts w:ascii="Arial" w:cs="Arial" w:eastAsia="Arial" w:hAnsi="Arial"/>
          <w:sz w:val="22"/>
          <w:szCs w:val="22"/>
        </w:rPr>
        <w:t xml:space="preserve">lists, the model falls back to 15 auto-discovered interactions and post-training verification checks whether the target pairs were found.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hyperparameters and their rationale: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than default (0.05)—produces smoother, more stable shape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outer_bags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reduction via bagging; provides confidence bands on shape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max_bins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resolution for continuous features; captures fine-grained non-linearity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max_interaction_bins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resolution for 2D surfaces; prevents overfitting on sparse cells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(6 forced + 9 auto)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to cover known DGP interactions + discover emergent patterns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Tool Walkthrough: Tab-by-Tab Guide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ResiScore™ demo is a Dash web application with four tabs, designed to follow the classic BD demo arc: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 → proof → drill-down → how-it-works</w:t>
      </w:r>
      <w:r>
        <w:rPr>
          <w:rFonts w:ascii="Arial" w:cs="Arial" w:eastAsia="Arial" w:hAnsi="Arial"/>
          <w:sz w:val="22"/>
          <w:szCs w:val="22"/>
        </w:rPr>
        <w:t xml:space="preserve">. This section walks through each tab, visual by visual.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Tab 1: Business Case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tab answers the executive question: “What is the financial impact of adopting this intelligence layer?” </w:t>
      </w:r>
      <w:r>
        <w:rPr>
          <w:rFonts w:ascii="Arial" w:cs="Arial" w:eastAsia="Arial" w:hAnsi="Arial"/>
          <w:sz w:val="22"/>
          <w:szCs w:val="22"/>
        </w:rPr>
        <w:t xml:space="preserve">It opens with a banner summarizing the key metrics and contains six visual elements.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8.1.1 KPI Cards (Top Row)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Five cards present the headline metrics at a glance: Legacy GLM R², Intelligence R², Variance Lift ΔR², </w:t>
      </w:r>
      <w:r>
        <w:rPr>
          <w:rFonts w:ascii="Arial" w:cs="Arial" w:eastAsia="Arial" w:hAnsi="Arial"/>
          <w:sz w:val="22"/>
          <w:szCs w:val="22"/>
        </w:rPr>
        <w:t xml:space="preserve">Adverse Selection Exposure (percentage of policies the GLM underprices by &gt;20%), and Book Premium Impact (±0.0%—the </w:t>
      </w:r>
      <w:r>
        <w:rPr>
          <w:rFonts w:ascii="Arial" w:cs="Arial" w:eastAsia="Arial" w:hAnsi="Arial"/>
          <w:sz w:val="22"/>
          <w:szCs w:val="22"/>
        </w:rPr>
        <w:t xml:space="preserve">risk-neutrality proof). Each card includes a subtitle with context and, where relevant, a badge (“KEY LIFT”, “RISK”, “NEUTRAL”).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8.1.2 R² Bar Chart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two-bar comparison showing Legacy GLM R² vs. GLM + GA2M R² on the out-of-sample test set. </w:t>
      </w:r>
      <w:r>
        <w:rPr>
          <w:rFonts w:ascii="Arial" w:cs="Arial" w:eastAsia="Arial" w:hAnsi="Arial"/>
          <w:sz w:val="22"/>
          <w:szCs w:val="22"/>
        </w:rPr>
        <w:t xml:space="preserve">A shaded band marks the “typical production GLM” range (0.55–0.65) for context. </w:t>
      </w:r>
      <w:r>
        <w:rPr>
          <w:rFonts w:ascii="Arial" w:cs="Arial" w:eastAsia="Arial" w:hAnsi="Arial"/>
          <w:sz w:val="22"/>
          <w:szCs w:val="22"/>
        </w:rPr>
        <w:t xml:space="preserve">The ΔR² lift is annotated in green above the second bar.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8.1.3 Premium Distribution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Overlaid histograms (35 bins, probability density normalization) comparing the GLM and GA2M premium distributions. </w:t>
      </w:r>
      <w:r>
        <w:rPr>
          <w:rFonts w:ascii="Arial" w:cs="Arial" w:eastAsia="Arial" w:hAnsi="Arial"/>
          <w:sz w:val="22"/>
          <w:szCs w:val="22"/>
        </w:rPr>
        <w:t xml:space="preserve">The shift in the right tail—more policies correctly priced into higher-risk bands—is the visual evidence of improved risk segmentation.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8.1.4 Adverse Selection Scatter (Side-by-Side)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panels sharing a y-axis: GLM-predicted premium (left) and Intelligence-adjusted premium (right) plotted against true expected loss cost. </w:t>
      </w:r>
      <w:r>
        <w:rPr>
          <w:rFonts w:ascii="Arial" w:cs="Arial" w:eastAsia="Arial" w:hAnsi="Arial"/>
          <w:sz w:val="22"/>
          <w:szCs w:val="22"/>
        </w:rPr>
        <w:t xml:space="preserve">Points are colored by a diverging red–grey–green scale representing pricing error percentage. </w:t>
      </w:r>
      <w:r>
        <w:rPr>
          <w:rFonts w:ascii="Arial" w:cs="Arial" w:eastAsia="Arial" w:hAnsi="Arial"/>
          <w:sz w:val="22"/>
          <w:szCs w:val="22"/>
        </w:rPr>
        <w:t xml:space="preserve">The dotted 45-degree line represents perfect pricing. Red dots below the diagonal are underpriced; grey dots on the diagonal are accurately priced. </w:t>
      </w:r>
      <w:r>
        <w:rPr>
          <w:rFonts w:ascii="Arial" w:cs="Arial" w:eastAsia="Arial" w:hAnsi="Arial"/>
          <w:sz w:val="22"/>
          <w:szCs w:val="22"/>
        </w:rPr>
        <w:t xml:space="preserve">The visual tells the story at a glance: the right panel’s cloud shifts towards grey and hugs the diagonal, demonstrating the adverse selection correction.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8.1.5 Reclassification Scatter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GLM premium (x-axis) vs. Final premium (y-axis) with the 45-degree line. Points above the line received a surcharge; points below received a credit. </w:t>
      </w:r>
      <w:r>
        <w:rPr>
          <w:rFonts w:ascii="Arial" w:cs="Arial" w:eastAsia="Arial" w:hAnsi="Arial"/>
          <w:sz w:val="22"/>
          <w:szCs w:val="22"/>
        </w:rPr>
        <w:t xml:space="preserve">Two quadrants are annotated: “Hidden Dangers” (upper-left—GLM underpriced, GA2M corrected upward) and </w:t>
      </w:r>
      <w:r>
        <w:rPr>
          <w:rFonts w:ascii="Arial" w:cs="Arial" w:eastAsia="Arial" w:hAnsi="Arial"/>
          <w:sz w:val="22"/>
          <w:szCs w:val="22"/>
        </w:rPr>
        <w:t xml:space="preserve">“Hidden Gems” (lower-right—GLM overpriced, GA2M corrected downward). These are growth opportunities.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8.1.6 Double-Lift Chart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most persuasive chart for actuarial audiences. Plots actual loss ratio (EPP / Predicted PP) by predicted-risk decile for both models. </w:t>
      </w:r>
      <w:r>
        <w:rPr>
          <w:rFonts w:ascii="Arial" w:cs="Arial" w:eastAsia="Arial" w:hAnsi="Arial"/>
          <w:sz w:val="22"/>
          <w:szCs w:val="22"/>
        </w:rPr>
        <w:t xml:space="preserve">A perfectly calibrated model produces a flat line at 1.0. The GLM line is flatter (less discrimination); the GA2M line is steeper </w:t>
      </w:r>
      <w:r>
        <w:rPr>
          <w:rFonts w:ascii="Arial" w:cs="Arial" w:eastAsia="Arial" w:hAnsi="Arial"/>
          <w:sz w:val="22"/>
          <w:szCs w:val="22"/>
        </w:rPr>
        <w:t xml:space="preserve">(wider separation between best and worst deciles). The gap in the top and bottom deciles is the actionable lift.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8.1.7 Tier Redistribution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Grouped bar chart comparing the share of the portfolio in each risk tier (Low / Moderate / Elevated / High) under the GLM vs. the GA2M. </w:t>
      </w:r>
      <w:r>
        <w:rPr>
          <w:rFonts w:ascii="Arial" w:cs="Arial" w:eastAsia="Arial" w:hAnsi="Arial"/>
          <w:sz w:val="22"/>
          <w:szCs w:val="22"/>
        </w:rPr>
        <w:t xml:space="preserve">Each bar shows the percentage-point shift, demonstrating how the intelligence layer reclassifies policies into more appropriate tiers.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8.2 Tab 2: Intelligence Signals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tab answers the technical question: “What specific signals does the GA2M capture that the GLM cannot?” </w:t>
      </w:r>
      <w:r>
        <w:rPr>
          <w:rFonts w:ascii="Arial" w:cs="Arial" w:eastAsia="Arial" w:hAnsi="Arial"/>
          <w:sz w:val="22"/>
          <w:szCs w:val="22"/>
        </w:rPr>
        <w:t xml:space="preserve">It contains three visual sections.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8.2.1 Data Characteristics Panel (Why the GLM Hits Its Ceiling)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2×2 grid of three-layer charts for four key features (Wildfire Exposure, Roof Vulnerability, Building Code Compliance, Credit Score). </w:t>
      </w:r>
      <w:r>
        <w:rPr>
          <w:rFonts w:ascii="Arial" w:cs="Arial" w:eastAsia="Arial" w:hAnsi="Arial"/>
          <w:sz w:val="22"/>
          <w:szCs w:val="22"/>
        </w:rPr>
        <w:t xml:space="preserve">Each chart overlays: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(dots): </w:t>
      </w:r>
      <w:r>
        <w:rPr>
          <w:rFonts w:ascii="Arial" w:cs="Arial" w:eastAsia="Arial" w:hAnsi="Arial"/>
          <w:sz w:val="22"/>
          <w:szCs w:val="22"/>
        </w:rPr>
        <w:t xml:space="preserve">Empirical risk pattern. Features are binned into 20 quantile groups; for each bin, the ratio of true expected premium to GLM prediction is plotted. Values above 1.0 mean the GLM underprices that bin.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(dashed line): </w:t>
      </w:r>
      <w:r>
        <w:rPr>
          <w:rFonts w:ascii="Arial" w:cs="Arial" w:eastAsia="Arial" w:hAnsi="Arial"/>
          <w:sz w:val="22"/>
          <w:szCs w:val="22"/>
        </w:rPr>
        <w:t xml:space="preserve">The GLM’s structural assumption. Because the GLM is linear in log-space, its residual is flat at 0%—the dashed line.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(solid curve): </w:t>
      </w:r>
      <w:r>
        <w:rPr>
          <w:rFonts w:ascii="Arial" w:cs="Arial" w:eastAsia="Arial" w:hAnsi="Arial"/>
          <w:sz w:val="22"/>
          <w:szCs w:val="22"/>
        </w:rPr>
        <w:t xml:space="preserve">The GA2M’s learned shape function, extracted directly from the trained EBM model. Where this curve diverges from the dashed line is structural premium leakage that no GLM can capture.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 annotation at the point of maximum divergence labels the “Max GLM error” in percentage terms. Confidence bands (from EBM’s outer bagging) are shown as a shaded region.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8.2.2 Signal Landscape (Dollar Impact Bar Chart)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horizontal bar chart ranking the top 15 features and interactions by estimated average dollar impact per policy. </w:t>
      </w:r>
      <w:r>
        <w:rPr>
          <w:rFonts w:ascii="Arial" w:cs="Arial" w:eastAsia="Arial" w:hAnsi="Arial"/>
          <w:sz w:val="22"/>
          <w:szCs w:val="22"/>
        </w:rPr>
        <w:t xml:space="preserve">Three colors distinguish: gold = interaction terms, dark blue = new modern signals absent from the GLM, blue-grey = legacy features gaining non-linear treatment.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8.2.3 Non-Linear Risk Profiles (Shape Function Panel)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2×2 grid showing the native EBM-learned shape functions for the same four features, converted to percentage premium adjustment vs. baseline. </w:t>
      </w:r>
      <w:r>
        <w:rPr>
          <w:rFonts w:ascii="Arial" w:cs="Arial" w:eastAsia="Arial" w:hAnsi="Arial"/>
          <w:sz w:val="22"/>
          <w:szCs w:val="22"/>
        </w:rPr>
        <w:t xml:space="preserve">Red/green shading distinguishes surcharge (above 0%) from credit (below 0%). These are the actual learned curves—not PDP simulations—providing exact visual proof of the non-linear patterns.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8.2.4 Interaction Heatmap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heatmap showing the learned Wildfire × Roof Vulnerability interaction surface. If the EBM exposes its native 2D interaction surface, </w:t>
      </w:r>
      <w:r>
        <w:rPr>
          <w:rFonts w:ascii="Arial" w:cs="Arial" w:eastAsia="Arial" w:hAnsi="Arial"/>
          <w:sz w:val="22"/>
          <w:szCs w:val="22"/>
        </w:rPr>
        <w:t xml:space="preserve">the chart plots it directly with an annotation: “This surface is the GA2M’s exact learned interaction effect.” </w:t>
      </w:r>
      <w:r>
        <w:rPr>
          <w:rFonts w:ascii="Arial" w:cs="Arial" w:eastAsia="Arial" w:hAnsi="Arial"/>
          <w:sz w:val="22"/>
          <w:szCs w:val="22"/>
        </w:rPr>
        <w:t xml:space="preserve">If the API does not expose it, a binned-average fallback is used. The upper-right corner (high wildfire + high roof vulnerability) shows the compounding risk zone.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8.3 Tab 3: Policy Lens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tab answers the underwriting question: “How does this change the price for a specific property?” </w:t>
      </w:r>
      <w:r>
        <w:rPr>
          <w:rFonts w:ascii="Arial" w:cs="Arial" w:eastAsia="Arial" w:hAnsi="Arial"/>
          <w:sz w:val="22"/>
          <w:szCs w:val="22"/>
        </w:rPr>
        <w:t xml:space="preserve">It provides a policy-level drill-down with three waterfall views.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8.3.1 Quick Pick Archetypes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row of 8 named demo properties representing distinct risk archetypes: WUI Wildfire Risk, Hail Belt Old Roof, </w:t>
      </w:r>
      <w:r>
        <w:rPr>
          <w:rFonts w:ascii="Arial" w:cs="Arial" w:eastAsia="Arial" w:hAnsi="Arial"/>
          <w:sz w:val="22"/>
          <w:szCs w:val="22"/>
        </w:rPr>
        <w:t xml:space="preserve">Flood Zone Foundation, Moral Hazard Signal, Hidden Gem (overpriced by GLM), New Build Masonry, Water Recency Risk, </w:t>
      </w:r>
      <w:r>
        <w:rPr>
          <w:rFonts w:ascii="Arial" w:cs="Arial" w:eastAsia="Arial" w:hAnsi="Arial"/>
          <w:sz w:val="22"/>
          <w:szCs w:val="22"/>
        </w:rPr>
        <w:t xml:space="preserve">and Suburban Standard. Each button shows the GLM and final premium with the adjustment percentage, enabling one-click navigation to narratively powerful examples.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8.3.2 Policy Profile Panel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Displays the selected policy’s risk tier badge, adjustment direction, true expected premium, GLM premium, GA2M dollar adjustment, </w:t>
      </w:r>
      <w:r>
        <w:rPr>
          <w:rFonts w:ascii="Arial" w:cs="Arial" w:eastAsia="Arial" w:hAnsi="Arial"/>
          <w:sz w:val="22"/>
          <w:szCs w:val="22"/>
        </w:rPr>
        <w:t xml:space="preserve">and final premium. A conditional amber notice appears for policies in credit-suppressed states (CA, MA).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8.3.3 Waterfall Views (Three Modes)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View: </w:t>
      </w:r>
      <w:r>
        <w:rPr>
          <w:rFonts w:ascii="Arial" w:cs="Arial" w:eastAsia="Arial" w:hAnsi="Arial"/>
          <w:sz w:val="22"/>
          <w:szCs w:val="22"/>
        </w:rPr>
        <w:t xml:space="preserve">A three-bar waterfall showing Legacy GLM Estimate → GA2M Intelligence Adjustment → Final Premium. The simplest view for executive audiences.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GLM Breakdown: </w:t>
      </w:r>
      <w:r>
        <w:rPr>
          <w:rFonts w:ascii="Arial" w:cs="Arial" w:eastAsia="Arial" w:hAnsi="Arial"/>
          <w:sz w:val="22"/>
          <w:szCs w:val="22"/>
        </w:rPr>
        <w:t xml:space="preserve">A detailed waterfall decomposing the GLM prediction into per-feature dollar contributions. Uses the statsmodels coefficient table directly, with OHE-expanded features aggregated back to their original feature names. Shows the GLM base rate as the starting bar.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GA2M Intelligence: </w:t>
      </w:r>
      <w:r>
        <w:rPr>
          <w:rFonts w:ascii="Arial" w:cs="Arial" w:eastAsia="Arial" w:hAnsi="Arial"/>
          <w:sz w:val="22"/>
          <w:szCs w:val="22"/>
        </w:rPr>
        <w:t xml:space="preserve">A detailed waterfall showing the GA2M’s per-feature contributions using EBM’s explain_local() method. The top 10 features are shown individually; remaining features are aggregated into “All Other Signals” with a hover tooltip listing the top 5. Individual features are marked with ●; interaction terms with ⊗.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8.4 Tab 4: Framework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tab answers the architect’s question: “How does this work under the hood, and why should I trust it?” </w:t>
      </w:r>
      <w:r>
        <w:rPr>
          <w:rFonts w:ascii="Arial" w:cs="Arial" w:eastAsia="Arial" w:hAnsi="Arial"/>
          <w:sz w:val="22"/>
          <w:szCs w:val="22"/>
        </w:rPr>
        <w:t xml:space="preserve">It presents five numbered sections.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1 — Legacy GLM: </w:t>
      </w:r>
      <w:r>
        <w:rPr>
          <w:rFonts w:ascii="Arial" w:cs="Arial" w:eastAsia="Arial" w:hAnsi="Arial"/>
          <w:sz w:val="22"/>
          <w:szCs w:val="22"/>
        </w:rPr>
        <w:t xml:space="preserve">Mathematical specification of the Poisson × Gamma GLM with formula display, including the AOI exposure offset, 4 interaction terms, and credit score suppression note.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 — Structural Ceiling: </w:t>
      </w:r>
      <w:r>
        <w:rPr>
          <w:rFonts w:ascii="Arial" w:cs="Arial" w:eastAsia="Arial" w:hAnsi="Arial"/>
          <w:sz w:val="22"/>
          <w:szCs w:val="22"/>
        </w:rPr>
        <w:t xml:space="preserve">Three constraint cards (Linearity, Additive Structure, Static Variables) with the percentage of unexplained variance highlighted.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3 — GA2M Specification: </w:t>
      </w:r>
      <w:r>
        <w:rPr>
          <w:rFonts w:ascii="Arial" w:cs="Arial" w:eastAsia="Arial" w:hAnsi="Arial"/>
          <w:sz w:val="22"/>
          <w:szCs w:val="22"/>
        </w:rPr>
        <w:t xml:space="preserve">Mathematical formulas for the log-residual target, the GA2M decomposition, the bounded corridor, and the risk-neutrality normalization. The actual weighted mean uplift value is displayed.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4 — Glass-Box Guarantee: </w:t>
      </w:r>
      <w:r>
        <w:rPr>
          <w:rFonts w:ascii="Arial" w:cs="Arial" w:eastAsia="Arial" w:hAnsi="Arial"/>
          <w:sz w:val="22"/>
          <w:szCs w:val="22"/>
        </w:rPr>
        <w:t xml:space="preserve">Three explanation layers (Global, Local, Regulatory) with the exact additivity guarantee highlighted—no post-hoc SHAP approximation.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5 — Validation: </w:t>
      </w:r>
      <w:r>
        <w:rPr>
          <w:rFonts w:ascii="Arial" w:cs="Arial" w:eastAsia="Arial" w:hAnsi="Arial"/>
          <w:sz w:val="22"/>
          <w:szCs w:val="22"/>
        </w:rPr>
        <w:t xml:space="preserve">Performance chips showing OOS metrics (GLM R², GA2M R², ΔR², corridor bounds, risk neutrality, residual recovered). A production validation checklist references the double-lift chart in Tab 1.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Installation and Operation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9.1 Prerequisites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Python 3.10 or higher, approximately 2 GB RAM for training, and 5–8 minutes for the full pipeline.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9.2 Quick Start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pip install -r requirements.txt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python setup.py</w:t>
      </w:r>
    </w:p>
    <w:p>
      <w:pPr>
        <w:shd w:fill="F0F4FA" w:val="clear"/>
        <w:spacing w:after="80" w:line="276"/>
        <w:ind w:left="360" w:right="360"/>
      </w:pPr>
      <w:r>
        <w:rPr>
          <w:rFonts w:ascii="Courier New" w:cs="Courier New" w:eastAsia="Courier New" w:hAnsi="Courier New"/>
          <w:color w:val="0D1B2A"/>
          <w:sz w:val="20"/>
          <w:szCs w:val="20"/>
        </w:rPr>
        <w:t xml:space="preserve">python app.py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Then open http://localhost:8050 in a browser. For subsequent runs, use python setup.py --skip-if-exists to skip regeneration.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9.3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configuration: paths, hyperparameters, feature lists, state config, correlations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package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orchestrator—runs data generation to GLM to EBM in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data_simulation.py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 generation (100K policies, copula, 10-state geography)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baseline_glm.py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× Gamma GLM (statsmodels, 16 features, exposure offset)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residual_model.py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EBM GA2M residual layer (28 features, risk-neutral normalization)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 web application—4-tab interactive demo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Appendix A: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 (Akaike Information Criterion)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measure of model fit that balances accuracy against complexity. Lower AIC indicates a better model. Used to compare nested GLMs.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AOI (Amount of Insurance)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Coverage A limit on a homeowners policy—the maximum the insurer will pay for dwelling damage. Drives both premium level and severity exposure.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 Selection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tendency for higher-risk individuals to seek or retain insurance at prices that do not fully reflect their risk, leading to unprofitable portfolios.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property intelligence vendor (acquired by Moody’s, Jan 2025) providing aerial imagery-based roof condition scores. 120+ property attributes, 100M+ buildings.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E-Forum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Casualty Actuarial Society’s online publication for actuarial research papers—the primary reference for GLM and ML pricing methodologies.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CLUE (Comprehensive Loss Underwriting Exchange)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LexisNexis database tracking 7 years of property claims history. Used by 95%+ of homeowners insurers.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 (Uplift Corridor)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bounded range [0.65×, 1.60×] within which the GA2M can adjust the GLM’s premium. Prevents extreme individual adjustments.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GLM equivalent of residual sum of squares. Deviance explained (%) is analogous to R² for linear models.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EBM (Explainable Boosting Machine)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InterpretML’s implementation of a GA2M—a glass-box model that learns smooth shape functions and pairwise interactions with exact decomposability.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Offset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known quantity (e.g., log(AOI/100K)) added to the GLM’s linear predictor to normalize predictions per unit of exposure. Standard actuarial practice.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GA2M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Generalized Additive Model with pairwise interactions. Learns smooth univariate functions f(x) and 2D interaction surfaces f(x,y) that sum to the prediction.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standard severity distribution for insurance claims—right-skewed, positive-valued, with variance proportional to the square of the mean.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Gini Coefficient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measure of model discrimination—how well the model separates high-risk from low-risk policies. Ranges from 0 (random) to 1 (perfect).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Glass-Box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model whose predictions decompose exactly into interpretable components without post-hoc approximation. Contrasts with black-box models requiring SHAP.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GLM (Generalized Linear Model)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flexible extension of linear regression for non-normal response distributions. In insurance: Poisson for frequency, Gamma for severity, with log link.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Guidewire company providing 1,250+ data points and 50+ peril scores per property via a single API call.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III/ISO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Information Institute / Insurance Services Office. ISO provides standard loss costs, territory factors, and the Protection Class 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Iman-Conover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rank-correlation technique that rearranges independently generated samples to match a target correlation matrix while preserving marginal distributions exactly.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Link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link function g(μ) = log(μ) used in Poisson and Gamma GLMs. Creates a multiplicative rating structure: each exp(β) is a rate relativity.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Ratio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paid divided by premium earned. A loss ratio of 1.0 means the insurer breaks even before expenses.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Association of Insurance Commissioners—the US regulatory body whose Model Bulletin on AI (Dec 2023, 24+ states) governs AI/ML use in insurance.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 (Out-of-Sample)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computed on data the model has never seen during training. The gold standard for evaluating predictive performance.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standard frequency distribution for insurance claim counts—discrete, non-negative, with variance equal to the mean.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Class (PPC)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ISO’s 1–10 scale rating a community’s fire suppression capability. Class 1 = best; Class 10 = unprotected. Drives fire premium.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Premium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annual loss per policy = frequency × severity. The actuarial foundation before expense loading and profit margin.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(Coefficient of Determination)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proportion of variance in the target explained by the model. R² = 0.65 means 65% of premium variation is captured.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Neutrality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property that the GA2M layer’s adjustments sum to zero at the book level: total premium in = total premium out. No net rate change.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 (SHapley Additive exPlanations)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game-theoretic framework for explaining individual predictions. SHAP on GLMs is exact; SHAP on GBMs is an approximation.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Function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learned univariate curve f(x) in a GAM/GA2M. Shows how a single feature contributes to the prediction across its range.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Tweedie 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compound Poisson-Gamma distribution that handles exact zeros (no-claim policies) and positive continuous values (claim amounts) in a single model.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WUI (Wildland-Urban Interface)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zone where development meets wildland vegetation—the primary zone for structure-ignition wildfire risk.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ΔR² (Delta R-squared)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incremental variance explained by the GA2M layer beyond the GLM baseline. The headline metric for the intelligence layer’s 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ZestyAI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climate-analytics vendor with Z-FIRE (wildfire), Z-HAIL, and Z-WIND scores. 70+ DOI approvals, deployed by carriers covering 40% of CA homeowners.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D9EAD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8D9EA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4"/>
      </w:pBdr>
      <w:jc w:val="right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ResiScore™  ·  </w:t>
    </w:r>
    <w:r>
      <w:rPr>
        <w:rFonts w:ascii="Arial" w:cs="Arial" w:eastAsia="Arial" w:hAnsi="Arial"/>
        <w:color w:val="8D9EAD"/>
        <w:sz w:val="18"/>
        <w:szCs w:val="18"/>
      </w:rPr>
      <w:t xml:space="preserve">Technical &amp; Business Reference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2026-03-15T11:12:48.964Z</dcterms:created>
  <dcterms:modified xsi:type="dcterms:W3CDTF">2026-03-15T11:12:48.965Z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