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D4ED8"/>
          <w:sz w:val="48"/>
          <w:szCs w:val="48"/>
        </w:rPr>
        <w:t xml:space="preserve">US HOMEOWNERS</w:t>
      </w:r>
    </w:p>
    <w:p>
      <w:pPr>
        <w:spacing w:after="200"/>
        <w:jc w:val="center"/>
      </w:pPr>
      <w:r>
        <w:rPr>
          <w:rFonts w:ascii="Arial" w:cs="Arial" w:eastAsia="Arial" w:hAnsi="Arial"/>
          <w:b/>
          <w:bCs/>
          <w:color w:val="0F172A"/>
          <w:sz w:val="48"/>
          <w:szCs w:val="48"/>
        </w:rPr>
        <w:t xml:space="preserve">RISK SCORING ENGINE</w:t>
      </w:r>
    </w:p>
    <w:p>
      <w:pPr>
        <w:spacing w:after="400"/>
        <w:jc w:val="center"/>
      </w:pPr>
      <w:r>
        <w:rPr>
          <w:rFonts w:ascii="Arial" w:cs="Arial" w:eastAsia="Arial" w:hAnsi="Arial"/>
          <w:color w:val="6B7280"/>
          <w:sz w:val="28"/>
          <w:szCs w:val="28"/>
        </w:rPr>
        <w:t xml:space="preserve">Technical &amp; Business Reference Manual</w:t>
      </w:r>
    </w:p>
    <w:p>
      <w:pPr>
        <w:spacing w:before="600"/>
      </w:pPr>
    </w:p>
    <w:p>
      <w:pPr>
        <w:spacing w:after="120"/>
        <w:jc w:val="center"/>
      </w:pPr>
      <w:r>
        <w:rPr>
          <w:rFonts w:ascii="Arial" w:cs="Arial" w:eastAsia="Arial" w:hAnsi="Arial"/>
          <w:color w:val="374151"/>
          <w:sz w:val="22"/>
          <w:szCs w:val="22"/>
        </w:rPr>
        <w:t xml:space="preserve">Business Development Demo Application</w:t>
      </w:r>
    </w:p>
    <w:p>
      <w:pPr>
        <w:spacing w:after="120"/>
        <w:jc w:val="center"/>
      </w:pPr>
      <w:r>
        <w:rPr>
          <w:rFonts w:ascii="Arial" w:cs="Arial" w:eastAsia="Arial" w:hAnsi="Arial"/>
          <w:color w:val="6B7280"/>
          <w:sz w:val="20"/>
          <w:szCs w:val="20"/>
        </w:rPr>
        <w:t xml:space="preserve">Version 5.0  |  March 2026</w:t>
      </w:r>
    </w:p>
    <w:p>
      <w:pPr>
        <w:spacing w:after="120"/>
        <w:jc w:val="center"/>
      </w:pPr>
      <w:r>
        <w:rPr>
          <w:rFonts w:ascii="Arial" w:cs="Arial" w:eastAsia="Arial" w:hAnsi="Arial"/>
          <w:b/>
          <w:bCs/>
          <w:color w:val="B45309"/>
          <w:sz w:val="20"/>
          <w:szCs w:val="20"/>
        </w:rPr>
        <w:t xml:space="preserve">Poisson × Gamma GLM + M̂ Interaction Multiplier Architecture</w:t>
      </w:r>
    </w:p>
    <w:p>
      <w:pPr>
        <w:spacing w:before="1200"/>
      </w:pPr>
    </w:p>
    <w:p>
      <w:pPr>
        <w:spacing w:after="60"/>
        <w:jc w:val="center"/>
      </w:pPr>
      <w:r>
        <w:rPr>
          <w:rFonts w:ascii="Arial" w:cs="Arial" w:eastAsia="Arial" w:hAnsi="Arial"/>
          <w:b/>
          <w:bCs/>
          <w:color w:val="DC2626"/>
          <w:sz w:val="18"/>
          <w:szCs w:val="18"/>
        </w:rPr>
        <w:t xml:space="preserve">CONFIDENTIAL</w:t>
      </w:r>
    </w:p>
    <w:p>
      <w:pPr>
        <w:jc w:val="center"/>
      </w:pPr>
      <w:r>
        <w:rPr>
          <w:rFonts w:ascii="Arial" w:cs="Arial" w:eastAsia="Arial" w:hAnsi="Arial"/>
          <w:i/>
          <w:iCs/>
          <w:color w:val="6B7280"/>
          <w:sz w:val="16"/>
          <w:szCs w:val="16"/>
        </w:rPr>
        <w:t xml:space="preserve">For internal stakeholders and carrier prospect audiences</w:t>
      </w:r>
    </w:p>
    <w:p>
      <w:r>
        <w:br w:type="page"/>
      </w:r>
    </w:p>
    <w:p>
      <w:pPr>
        <w:pStyle w:val="Heading1"/>
        <w:spacing w:before="360" w:after="200"/>
      </w:pPr>
      <w:r>
        <w:rPr>
          <w:rFonts w:ascii="Arial" w:cs="Arial" w:eastAsia="Arial" w:hAnsi="Arial"/>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0F172A"/>
          <w:sz w:val="32"/>
          <w:szCs w:val="32"/>
        </w:rPr>
        <w:t xml:space="preserve">1. Executive Summary</w:t>
      </w:r>
    </w:p>
    <w:p>
      <w:pPr>
        <w:spacing w:after="120"/>
        <w:jc w:val="left"/>
      </w:pPr>
      <w:r>
        <w:rPr>
          <w:rFonts w:ascii="Arial" w:cs="Arial" w:eastAsia="Arial" w:hAnsi="Arial"/>
          <w:b w:val="false"/>
          <w:bCs w:val="false"/>
          <w:i w:val="false"/>
          <w:iCs w:val="false"/>
          <w:color w:val="374151"/>
          <w:sz w:val="20"/>
          <w:szCs w:val="20"/>
        </w:rPr>
        <w:t xml:space="preserve">This document is the comprehensive reference manual for the US Homeowners Risk Scoring Engine, a Streamlit-based business development demonstration application. The application showcases a production-aligned risk scoring architecture that extends the industry-standard Generalized Linear Model (GLM) with a machine-learning-derived interaction multiplier layer called M̂ (M-hat). It operates entirely offline with 100,000 synthetic policies, requiring no API keys, authentication, or live external services.</w:t>
      </w:r>
    </w:p>
    <w:p>
      <w:pPr>
        <w:pStyle w:val="Heading2"/>
        <w:spacing w:before="300" w:after="160"/>
      </w:pPr>
      <w:r>
        <w:rPr>
          <w:rFonts w:ascii="Arial" w:cs="Arial" w:eastAsia="Arial" w:hAnsi="Arial"/>
          <w:b/>
          <w:bCs/>
          <w:color w:val="1D4ED8"/>
          <w:sz w:val="26"/>
          <w:szCs w:val="26"/>
        </w:rPr>
        <w:t xml:space="preserve">1.1 The Problem</w:t>
      </w:r>
    </w:p>
    <w:p>
      <w:pPr>
        <w:spacing w:after="120"/>
        <w:jc w:val="left"/>
      </w:pPr>
      <w:r>
        <w:rPr>
          <w:rFonts w:ascii="Arial" w:cs="Arial" w:eastAsia="Arial" w:hAnsi="Arial"/>
          <w:b w:val="false"/>
          <w:bCs w:val="false"/>
          <w:i w:val="false"/>
          <w:iCs w:val="false"/>
          <w:color w:val="374151"/>
          <w:sz w:val="20"/>
          <w:szCs w:val="20"/>
        </w:rPr>
        <w:t xml:space="preserve">Traditional homeowners insurance risk models use additive structures: each risk variable contributes independently to the final premium. A wood-shake roof adds its penalty. A high-wildfire zone adds its penalty. But the real-world risk of a wood-shake roof in a high-wildfire zone is not the sum of those penalties. Embers travel over a mile and ignite wood shake shingles at 572°F (versus 700°F for asphalt). The risk compounds super-multiplicatively. Standard GLMs, which sum risk factors via a linear predictor, systematically under-price these compound exposures.</w:t>
      </w:r>
    </w:p>
    <w:p>
      <w:pPr>
        <w:spacing w:after="120"/>
        <w:jc w:val="left"/>
      </w:pPr>
      <w:r>
        <w:rPr>
          <w:rFonts w:ascii="Arial" w:cs="Arial" w:eastAsia="Arial" w:hAnsi="Arial"/>
          <w:b w:val="false"/>
          <w:bCs w:val="false"/>
          <w:i w:val="false"/>
          <w:iCs w:val="false"/>
          <w:color w:val="374151"/>
          <w:sz w:val="20"/>
          <w:szCs w:val="20"/>
        </w:rPr>
        <w:t xml:space="preserve">US insured catastrophe losses reached $112.7 billion in 2024. Carriers exiting California, Florida, and Louisiana cite inability to adequately price compound wildfire, flood, and hurricane risks. The additive-model gap is an existential industry issue.</w:t>
      </w:r>
    </w:p>
    <w:p>
      <w:pPr>
        <w:pStyle w:val="Heading2"/>
        <w:spacing w:before="300" w:after="160"/>
      </w:pPr>
      <w:r>
        <w:rPr>
          <w:rFonts w:ascii="Arial" w:cs="Arial" w:eastAsia="Arial" w:hAnsi="Arial"/>
          <w:b/>
          <w:bCs/>
          <w:color w:val="1D4ED8"/>
          <w:sz w:val="26"/>
          <w:szCs w:val="26"/>
        </w:rPr>
        <w:t xml:space="preserve">1.2 The Solution</w:t>
      </w:r>
    </w:p>
    <w:p>
      <w:pPr>
        <w:pStyle w:val="ListParagraph"/>
        <w:numPr>
          <w:ilvl w:val="0"/>
          <w:numId w:val="2"/>
        </w:numPr>
        <w:spacing w:after="80"/>
      </w:pPr>
      <w:r>
        <w:rPr>
          <w:rFonts w:ascii="Arial" w:cs="Arial" w:eastAsia="Arial" w:hAnsi="Arial"/>
          <w:b/>
          <w:bCs/>
          <w:color w:val="374151"/>
          <w:sz w:val="20"/>
          <w:szCs w:val="20"/>
        </w:rPr>
        <w:t xml:space="preserve">Poisson × Gamma GLM Baseline: </w:t>
      </w:r>
      <w:r>
        <w:rPr>
          <w:rFonts w:ascii="Arial" w:cs="Arial" w:eastAsia="Arial" w:hAnsi="Arial"/>
          <w:color w:val="374151"/>
          <w:sz w:val="20"/>
          <w:szCs w:val="20"/>
        </w:rPr>
        <w:t xml:space="preserve">Separate Poisson (frequency) and Gamma (severity) GLMs on Tier 1+2 features produce the base pure premium. This decomposed architecture meets Munich Re/Swiss Re treaty standards requiring independent frequency and severity trends for capital allocation. Every coefficient is a named rate relativity fileable with state DOIs.</w:t>
      </w:r>
    </w:p>
    <w:p>
      <w:pPr>
        <w:pStyle w:val="ListParagraph"/>
        <w:numPr>
          <w:ilvl w:val="0"/>
          <w:numId w:val="2"/>
        </w:numPr>
        <w:spacing w:after="80"/>
      </w:pPr>
      <w:r>
        <w:rPr>
          <w:rFonts w:ascii="Arial" w:cs="Arial" w:eastAsia="Arial" w:hAnsi="Arial"/>
          <w:b/>
          <w:bCs/>
          <w:color w:val="374151"/>
          <w:sz w:val="20"/>
          <w:szCs w:val="20"/>
        </w:rPr>
        <w:t xml:space="preserve">M̂ Interaction Ensemble: </w:t>
      </w:r>
      <w:r>
        <w:rPr>
          <w:rFonts w:ascii="Arial" w:cs="Arial" w:eastAsia="Arial" w:hAnsi="Arial"/>
          <w:color w:val="374151"/>
          <w:sz w:val="20"/>
          <w:szCs w:val="20"/>
        </w:rPr>
        <w:t xml:space="preserve">A stacked ensemble (RF + HistGradientBoosting + ExtraTrees → Ridge → Isotonic Regression) trained on the GLM’s own group-level residuals using actuarial observed/expected aggregation. M̂ is a multiplicative adjustment: final E[L] = GLM_prediction × M̂. Normalised to portfolio mean = 1.0, making it revenue-neutral at the book level.</w:t>
      </w:r>
    </w:p>
    <w:p>
      <w:pPr>
        <w:pStyle w:val="ListParagraph"/>
        <w:numPr>
          <w:ilvl w:val="0"/>
          <w:numId w:val="2"/>
        </w:numPr>
        <w:spacing w:after="80"/>
      </w:pPr>
      <w:r>
        <w:rPr>
          <w:rFonts w:ascii="Arial" w:cs="Arial" w:eastAsia="Arial" w:hAnsi="Arial"/>
          <w:b/>
          <w:bCs/>
          <w:color w:val="374151"/>
          <w:sz w:val="20"/>
          <w:szCs w:val="20"/>
        </w:rPr>
        <w:t xml:space="preserve">Three-Tier Feature Framework: </w:t>
      </w:r>
      <w:r>
        <w:rPr>
          <w:rFonts w:ascii="Arial" w:cs="Arial" w:eastAsia="Arial" w:hAnsi="Arial"/>
          <w:color w:val="374151"/>
          <w:sz w:val="20"/>
          <w:szCs w:val="20"/>
        </w:rPr>
        <w:t xml:space="preserve">25 variables organised into Tier 1 (property/structural, 60% of variance), Tier 2 (behavioural/secondary, 20%), and Tier 3 (hazard/interaction inputs, 12%). The remaining 8% is irreducible noise.</w:t>
      </w:r>
    </w:p>
    <w:p>
      <w:pPr>
        <w:pStyle w:val="Heading2"/>
        <w:spacing w:before="300" w:after="160"/>
      </w:pPr>
      <w:r>
        <w:rPr>
          <w:rFonts w:ascii="Arial" w:cs="Arial" w:eastAsia="Arial" w:hAnsi="Arial"/>
          <w:b/>
          <w:bCs/>
          <w:color w:val="1D4ED8"/>
          <w:sz w:val="26"/>
          <w:szCs w:val="26"/>
        </w:rPr>
        <w:t xml:space="preserve">1.3 Key Metrics</w:t>
      </w:r>
    </w:p>
    <w:p>
      <w:pPr>
        <w:pStyle w:val="ListParagraph"/>
        <w:numPr>
          <w:ilvl w:val="0"/>
          <w:numId w:val="2"/>
        </w:numPr>
        <w:spacing w:after="80"/>
      </w:pPr>
      <w:r>
        <w:rPr>
          <w:rFonts w:ascii="Arial" w:cs="Arial" w:eastAsia="Arial" w:hAnsi="Arial"/>
          <w:b/>
          <w:bCs/>
          <w:color w:val="374151"/>
          <w:sz w:val="20"/>
          <w:szCs w:val="20"/>
        </w:rPr>
        <w:t xml:space="preserve">R² improvement: </w:t>
      </w:r>
      <w:r>
        <w:rPr>
          <w:rFonts w:ascii="Arial" w:cs="Arial" w:eastAsia="Arial" w:hAnsi="Arial"/>
          <w:color w:val="374151"/>
          <w:sz w:val="20"/>
          <w:szCs w:val="20"/>
        </w:rPr>
        <w:t xml:space="preserve">Tier 1+2 GLM achieves R² ≈ 0.80. Adding Tier 3 via M̂ pushes to ≈0.92 (+12 pp).</w:t>
      </w:r>
    </w:p>
    <w:p>
      <w:pPr>
        <w:pStyle w:val="ListParagraph"/>
        <w:numPr>
          <w:ilvl w:val="0"/>
          <w:numId w:val="2"/>
        </w:numPr>
        <w:spacing w:after="80"/>
      </w:pPr>
      <w:r>
        <w:rPr>
          <w:rFonts w:ascii="Arial" w:cs="Arial" w:eastAsia="Arial" w:hAnsi="Arial"/>
          <w:b/>
          <w:bCs/>
          <w:color w:val="374151"/>
          <w:sz w:val="20"/>
          <w:szCs w:val="20"/>
        </w:rPr>
        <w:t xml:space="preserve">Portfolio reclassification: </w:t>
      </w:r>
      <w:r>
        <w:rPr>
          <w:rFonts w:ascii="Arial" w:cs="Arial" w:eastAsia="Arial" w:hAnsi="Arial"/>
          <w:color w:val="374151"/>
          <w:sz w:val="20"/>
          <w:szCs w:val="20"/>
        </w:rPr>
        <w:t xml:space="preserve">22–25% of policies change risk tier when M̂ is applied.</w:t>
      </w:r>
    </w:p>
    <w:p>
      <w:pPr>
        <w:pStyle w:val="ListParagraph"/>
        <w:numPr>
          <w:ilvl w:val="0"/>
          <w:numId w:val="2"/>
        </w:numPr>
        <w:spacing w:after="80"/>
      </w:pPr>
      <w:r>
        <w:rPr>
          <w:rFonts w:ascii="Arial" w:cs="Arial" w:eastAsia="Arial" w:hAnsi="Arial"/>
          <w:b/>
          <w:bCs/>
          <w:color w:val="374151"/>
          <w:sz w:val="20"/>
          <w:szCs w:val="20"/>
        </w:rPr>
        <w:t xml:space="preserve">Revenue neutrality: </w:t>
      </w:r>
      <w:r>
        <w:rPr>
          <w:rFonts w:ascii="Arial" w:cs="Arial" w:eastAsia="Arial" w:hAnsi="Arial"/>
          <w:color w:val="374151"/>
          <w:sz w:val="20"/>
          <w:szCs w:val="20"/>
        </w:rPr>
        <w:t xml:space="preserve">M̂ mean = 1.0. It redistributes premium, not inflates it.</w:t>
      </w:r>
    </w:p>
    <w:p>
      <w:pPr>
        <w:pStyle w:val="ListParagraph"/>
        <w:numPr>
          <w:ilvl w:val="0"/>
          <w:numId w:val="2"/>
        </w:numPr>
        <w:spacing w:after="80"/>
      </w:pPr>
      <w:r>
        <w:rPr>
          <w:rFonts w:ascii="Arial" w:cs="Arial" w:eastAsia="Arial" w:hAnsi="Arial"/>
          <w:b/>
          <w:bCs/>
          <w:color w:val="374151"/>
          <w:sz w:val="20"/>
          <w:szCs w:val="20"/>
        </w:rPr>
        <w:t xml:space="preserve">Underwriting speed: </w:t>
      </w:r>
      <w:r>
        <w:rPr>
          <w:rFonts w:ascii="Arial" w:cs="Arial" w:eastAsia="Arial" w:hAnsi="Arial"/>
          <w:color w:val="374151"/>
          <w:sz w:val="20"/>
          <w:szCs w:val="20"/>
        </w:rPr>
        <w:t xml:space="preserve">&lt;2 seconds per policy vs 45 minutes manual (25× capacity).</w:t>
      </w:r>
    </w:p>
    <w:p>
      <w:pPr>
        <w:pStyle w:val="Heading2"/>
        <w:spacing w:before="300" w:after="160"/>
      </w:pPr>
      <w:r>
        <w:rPr>
          <w:rFonts w:ascii="Arial" w:cs="Arial" w:eastAsia="Arial" w:hAnsi="Arial"/>
          <w:b/>
          <w:bCs/>
          <w:color w:val="1D4ED8"/>
          <w:sz w:val="26"/>
          <w:szCs w:val="26"/>
        </w:rPr>
        <w:t xml:space="preserve">1.4 Who This Manual Serves</w:t>
      </w:r>
    </w:p>
    <w:p>
      <w:pPr>
        <w:pStyle w:val="ListParagraph"/>
        <w:numPr>
          <w:ilvl w:val="0"/>
          <w:numId w:val="2"/>
        </w:numPr>
        <w:spacing w:after="80"/>
      </w:pPr>
      <w:r>
        <w:rPr>
          <w:rFonts w:ascii="Arial" w:cs="Arial" w:eastAsia="Arial" w:hAnsi="Arial"/>
          <w:b/>
          <w:bCs/>
          <w:color w:val="374151"/>
          <w:sz w:val="20"/>
          <w:szCs w:val="20"/>
        </w:rPr>
        <w:t xml:space="preserve">Actuaries and data scientists: </w:t>
      </w:r>
      <w:r>
        <w:rPr>
          <w:rFonts w:ascii="Arial" w:cs="Arial" w:eastAsia="Arial" w:hAnsi="Arial"/>
          <w:color w:val="374151"/>
          <w:sz w:val="20"/>
          <w:szCs w:val="20"/>
        </w:rPr>
        <w:t xml:space="preserve">Sections 2–4 provide full mathematical specification including group O/E aggregation, stacking architecture, scoring formulas, and the discovery cycle framework.</w:t>
      </w:r>
    </w:p>
    <w:p>
      <w:pPr>
        <w:pStyle w:val="ListParagraph"/>
        <w:numPr>
          <w:ilvl w:val="0"/>
          <w:numId w:val="2"/>
        </w:numPr>
        <w:spacing w:after="80"/>
      </w:pPr>
      <w:r>
        <w:rPr>
          <w:rFonts w:ascii="Arial" w:cs="Arial" w:eastAsia="Arial" w:hAnsi="Arial"/>
          <w:b/>
          <w:bCs/>
          <w:color w:val="374151"/>
          <w:sz w:val="20"/>
          <w:szCs w:val="20"/>
        </w:rPr>
        <w:t xml:space="preserve">Underwriting and product leaders: </w:t>
      </w:r>
      <w:r>
        <w:rPr>
          <w:rFonts w:ascii="Arial" w:cs="Arial" w:eastAsia="Arial" w:hAnsi="Arial"/>
          <w:color w:val="374151"/>
          <w:sz w:val="20"/>
          <w:szCs w:val="20"/>
        </w:rPr>
        <w:t xml:space="preserve">Sections 2–3 cover competitive landscape and business rationale. Section 5 explains every KPI and visual.</w:t>
      </w:r>
    </w:p>
    <w:p>
      <w:pPr>
        <w:pStyle w:val="ListParagraph"/>
        <w:numPr>
          <w:ilvl w:val="0"/>
          <w:numId w:val="2"/>
        </w:numPr>
        <w:spacing w:after="80"/>
      </w:pPr>
      <w:r>
        <w:rPr>
          <w:rFonts w:ascii="Arial" w:cs="Arial" w:eastAsia="Arial" w:hAnsi="Arial"/>
          <w:b/>
          <w:bCs/>
          <w:color w:val="374151"/>
          <w:sz w:val="20"/>
          <w:szCs w:val="20"/>
        </w:rPr>
        <w:t xml:space="preserve">Business development and demo operators: </w:t>
      </w:r>
      <w:r>
        <w:rPr>
          <w:rFonts w:ascii="Arial" w:cs="Arial" w:eastAsia="Arial" w:hAnsi="Arial"/>
          <w:color w:val="374151"/>
          <w:sz w:val="20"/>
          <w:szCs w:val="20"/>
        </w:rPr>
        <w:t xml:space="preserve">Section 5 provides tab-by-tab walkthrough with sidebar tuning guidance.</w:t>
      </w:r>
    </w:p>
    <w:p>
      <w:pPr>
        <w:pStyle w:val="ListParagraph"/>
        <w:numPr>
          <w:ilvl w:val="0"/>
          <w:numId w:val="2"/>
        </w:numPr>
        <w:spacing w:after="80"/>
      </w:pPr>
      <w:r>
        <w:rPr>
          <w:rFonts w:ascii="Arial" w:cs="Arial" w:eastAsia="Arial" w:hAnsi="Arial"/>
          <w:b/>
          <w:bCs/>
          <w:color w:val="374151"/>
          <w:sz w:val="20"/>
          <w:szCs w:val="20"/>
        </w:rPr>
        <w:t xml:space="preserve">Engineering teams: </w:t>
      </w:r>
      <w:r>
        <w:rPr>
          <w:rFonts w:ascii="Arial" w:cs="Arial" w:eastAsia="Arial" w:hAnsi="Arial"/>
          <w:color w:val="374151"/>
          <w:sz w:val="20"/>
          <w:szCs w:val="20"/>
        </w:rPr>
        <w:t xml:space="preserve">Section 6 details every file, data column, and configuration parameter.</w:t>
      </w:r>
    </w:p>
    <w:p>
      <w:r>
        <w:br w:type="page"/>
      </w:r>
    </w:p>
    <w:p>
      <w:pPr>
        <w:pStyle w:val="Heading1"/>
        <w:spacing w:before="360" w:after="200"/>
      </w:pPr>
      <w:r>
        <w:rPr>
          <w:rFonts w:ascii="Arial" w:cs="Arial" w:eastAsia="Arial" w:hAnsi="Arial"/>
          <w:b/>
          <w:bCs/>
          <w:color w:val="0F172A"/>
          <w:sz w:val="32"/>
          <w:szCs w:val="32"/>
        </w:rPr>
        <w:t xml:space="preserve">2. Industry Gold Standard: How Carriers Score Risk Today</w:t>
      </w:r>
    </w:p>
    <w:p>
      <w:pPr>
        <w:pStyle w:val="Heading2"/>
        <w:spacing w:before="300" w:after="160"/>
      </w:pPr>
      <w:r>
        <w:rPr>
          <w:rFonts w:ascii="Arial" w:cs="Arial" w:eastAsia="Arial" w:hAnsi="Arial"/>
          <w:b/>
          <w:bCs/>
          <w:color w:val="1D4ED8"/>
          <w:sz w:val="26"/>
          <w:szCs w:val="26"/>
        </w:rPr>
        <w:t xml:space="preserve">2.1 The Generalized Linear Model (GLM)</w:t>
      </w:r>
    </w:p>
    <w:p>
      <w:pPr>
        <w:spacing w:after="120"/>
        <w:jc w:val="left"/>
      </w:pPr>
      <w:r>
        <w:rPr>
          <w:rFonts w:ascii="Arial" w:cs="Arial" w:eastAsia="Arial" w:hAnsi="Arial"/>
          <w:b w:val="false"/>
          <w:bCs w:val="false"/>
          <w:i w:val="false"/>
          <w:iCs w:val="false"/>
          <w:color w:val="374151"/>
          <w:sz w:val="20"/>
          <w:szCs w:val="20"/>
        </w:rPr>
        <w:t xml:space="preserve">The GLM is the dominant modeling framework in personal lines insurance pricing (Nelder &amp; Wedderburn, 1972; CAS Monograph No. 5, 2nd Ed. 2025). It has three components:</w:t>
      </w:r>
    </w:p>
    <w:p>
      <w:pPr>
        <w:pStyle w:val="ListParagraph"/>
        <w:numPr>
          <w:ilvl w:val="0"/>
          <w:numId w:val="3"/>
        </w:numPr>
        <w:spacing w:after="80"/>
      </w:pPr>
      <w:r>
        <w:rPr>
          <w:rFonts w:ascii="Arial" w:cs="Arial" w:eastAsia="Arial" w:hAnsi="Arial"/>
          <w:color w:val="374151"/>
          <w:sz w:val="20"/>
          <w:szCs w:val="20"/>
        </w:rPr>
        <w:t xml:space="preserve">A random component: the distribution of the response variable — Poisson for claim counts, Gamma for claim severity.</w:t>
      </w:r>
    </w:p>
    <w:p>
      <w:pPr>
        <w:pStyle w:val="ListParagraph"/>
        <w:numPr>
          <w:ilvl w:val="0"/>
          <w:numId w:val="3"/>
        </w:numPr>
        <w:spacing w:after="80"/>
      </w:pPr>
      <w:r>
        <w:rPr>
          <w:rFonts w:ascii="Arial" w:cs="Arial" w:eastAsia="Arial" w:hAnsi="Arial"/>
          <w:color w:val="374151"/>
          <w:sz w:val="20"/>
          <w:szCs w:val="20"/>
        </w:rPr>
        <w:t xml:space="preserve">A systematic component: the linear predictor η = β₀ + β₁·x₁ + … + βₙ·xₙ.</w:t>
      </w:r>
    </w:p>
    <w:p>
      <w:pPr>
        <w:pStyle w:val="ListParagraph"/>
        <w:numPr>
          <w:ilvl w:val="0"/>
          <w:numId w:val="3"/>
        </w:numPr>
        <w:spacing w:after="80"/>
      </w:pPr>
      <w:r>
        <w:rPr>
          <w:rFonts w:ascii="Arial" w:cs="Arial" w:eastAsia="Arial" w:hAnsi="Arial"/>
          <w:color w:val="374151"/>
          <w:sz w:val="20"/>
          <w:szCs w:val="20"/>
        </w:rPr>
        <w:t xml:space="preserve">A log link function g(μ) = log(μ), producing a multiplicative rating structure.</w:t>
      </w:r>
    </w:p>
    <w:p>
      <w:pPr>
        <w:spacing w:after="120"/>
        <w:jc w:val="left"/>
      </w:pPr>
      <w:r>
        <w:rPr>
          <w:rFonts w:ascii="Arial" w:cs="Arial" w:eastAsia="Arial" w:hAnsi="Arial"/>
          <w:b w:val="false"/>
          <w:bCs w:val="false"/>
          <w:i w:val="false"/>
          <w:iCs w:val="false"/>
          <w:color w:val="374151"/>
          <w:sz w:val="20"/>
          <w:szCs w:val="20"/>
        </w:rPr>
        <w:t xml:space="preserve">The prediction is:</w:t>
      </w:r>
    </w:p>
    <w:p>
      <w:pPr>
        <w:spacing w:before="120" w:after="120"/>
        <w:ind w:left="720"/>
      </w:pPr>
      <w:r>
        <w:rPr>
          <w:rFonts w:ascii="Courier New" w:cs="Courier New" w:eastAsia="Courier New" w:hAnsi="Courier New"/>
          <w:b/>
          <w:bCs/>
          <w:color w:val="92400E"/>
          <w:sz w:val="20"/>
          <w:szCs w:val="20"/>
        </w:rPr>
        <w:t xml:space="preserve">μ = exp(β₀) × exp(β₁·x₁) × … × exp(βₙ·xₙ)</w:t>
      </w:r>
    </w:p>
    <w:p>
      <w:pPr>
        <w:spacing w:after="120"/>
        <w:jc w:val="left"/>
      </w:pPr>
      <w:r>
        <w:rPr>
          <w:rFonts w:ascii="Arial" w:cs="Arial" w:eastAsia="Arial" w:hAnsi="Arial"/>
          <w:b w:val="false"/>
          <w:bCs w:val="false"/>
          <w:i w:val="false"/>
          <w:iCs w:val="false"/>
          <w:color w:val="374151"/>
          <w:sz w:val="20"/>
          <w:szCs w:val="20"/>
        </w:rPr>
        <w:t xml:space="preserve">Each exp(βⱼ) is a rate relativity. A coefficient of 0.30 means that feature multiplies expected loss by 1.35× — a 35% surcharge. This maps directly to the multiplicative rating plans state DOIs accept.</w:t>
      </w:r>
    </w:p>
    <w:p>
      <w:pPr>
        <w:pStyle w:val="Heading2"/>
        <w:spacing w:before="300" w:after="160"/>
      </w:pPr>
      <w:r>
        <w:rPr>
          <w:rFonts w:ascii="Arial" w:cs="Arial" w:eastAsia="Arial" w:hAnsi="Arial"/>
          <w:b/>
          <w:bCs/>
          <w:color w:val="1D4ED8"/>
          <w:sz w:val="26"/>
          <w:szCs w:val="26"/>
        </w:rPr>
        <w:t xml:space="preserve">2.2 Why Poisson × Gamma, Not a Single Tweedie Model</w:t>
      </w:r>
    </w:p>
    <w:p>
      <w:pPr>
        <w:spacing w:after="120"/>
        <w:jc w:val="left"/>
      </w:pPr>
      <w:r>
        <w:rPr>
          <w:rFonts w:ascii="Arial" w:cs="Arial" w:eastAsia="Arial" w:hAnsi="Arial"/>
          <w:b w:val="false"/>
          <w:bCs w:val="false"/>
          <w:i w:val="false"/>
          <w:iCs w:val="false"/>
          <w:color w:val="374151"/>
          <w:sz w:val="20"/>
          <w:szCs w:val="20"/>
        </w:rPr>
        <w:t xml:space="preserve">The Tweedie compound Poisson-Gamma distribution (power parameter p ≈ 1.65) is a theoretically elegant single-model approach that handles zero-inflated continuous loss data natively. However, US carriers almost universally file separate Poisson frequency and Gamma severity GLMs in production. The reasons are practical, not theoretical:</w:t>
      </w:r>
    </w:p>
    <w:p>
      <w:pPr>
        <w:pStyle w:val="ListParagraph"/>
        <w:numPr>
          <w:ilvl w:val="0"/>
          <w:numId w:val="2"/>
        </w:numPr>
        <w:spacing w:after="80"/>
      </w:pPr>
      <w:r>
        <w:rPr>
          <w:rFonts w:ascii="Arial" w:cs="Arial" w:eastAsia="Arial" w:hAnsi="Arial"/>
          <w:b/>
          <w:bCs/>
          <w:color w:val="374151"/>
          <w:sz w:val="20"/>
          <w:szCs w:val="20"/>
        </w:rPr>
        <w:t xml:space="preserve">Reinsurer requirements: </w:t>
      </w:r>
      <w:r>
        <w:rPr>
          <w:rFonts w:ascii="Arial" w:cs="Arial" w:eastAsia="Arial" w:hAnsi="Arial"/>
          <w:color w:val="374151"/>
          <w:sz w:val="20"/>
          <w:szCs w:val="20"/>
        </w:rPr>
        <w:t xml:space="preserve">Munich Re and Swiss Re treaty pricing demands independent frequency and severity trends. Their capital allocation frameworks decompose premium by risk category (attritional, large loss, small CAT, major CAT), requiring the transparency that only freq × sev decomposition provides.</w:t>
      </w:r>
    </w:p>
    <w:p>
      <w:pPr>
        <w:pStyle w:val="ListParagraph"/>
        <w:numPr>
          <w:ilvl w:val="0"/>
          <w:numId w:val="2"/>
        </w:numPr>
        <w:spacing w:after="80"/>
      </w:pPr>
      <w:r>
        <w:rPr>
          <w:rFonts w:ascii="Arial" w:cs="Arial" w:eastAsia="Arial" w:hAnsi="Arial"/>
          <w:b/>
          <w:bCs/>
          <w:color w:val="374151"/>
          <w:sz w:val="20"/>
          <w:szCs w:val="20"/>
        </w:rPr>
        <w:t xml:space="preserve">Opposite-sign detection: </w:t>
      </w:r>
      <w:r>
        <w:rPr>
          <w:rFonts w:ascii="Arial" w:cs="Arial" w:eastAsia="Arial" w:hAnsi="Arial"/>
          <w:color w:val="374151"/>
          <w:sz w:val="20"/>
          <w:szCs w:val="20"/>
        </w:rPr>
        <w:t xml:space="preserve">Garrido, Genest &amp; Schulz (2016, European Actuarial Journal) showed that when frequency and severity variables have opposite signs — common in homeowners — a single Tweedie model misidentifies cheap segments as expensive. Separate models avoid this.</w:t>
      </w:r>
    </w:p>
    <w:p>
      <w:pPr>
        <w:pStyle w:val="ListParagraph"/>
        <w:numPr>
          <w:ilvl w:val="0"/>
          <w:numId w:val="2"/>
        </w:numPr>
        <w:spacing w:after="80"/>
      </w:pPr>
      <w:r>
        <w:rPr>
          <w:rFonts w:ascii="Arial" w:cs="Arial" w:eastAsia="Arial" w:hAnsi="Arial"/>
          <w:b/>
          <w:bCs/>
          <w:color w:val="374151"/>
          <w:sz w:val="20"/>
          <w:szCs w:val="20"/>
        </w:rPr>
        <w:t xml:space="preserve">Actuarial trend analysis: </w:t>
      </w:r>
      <w:r>
        <w:rPr>
          <w:rFonts w:ascii="Arial" w:cs="Arial" w:eastAsia="Arial" w:hAnsi="Arial"/>
          <w:color w:val="374151"/>
          <w:sz w:val="20"/>
          <w:szCs w:val="20"/>
        </w:rPr>
        <w:t xml:space="preserve">Frequency and severity trends often diverge (e.g., frequency falling while severity rises due to construction cost inflation). A single model obscures these signals.</w:t>
      </w:r>
    </w:p>
    <w:p>
      <w:pPr>
        <w:spacing w:after="120"/>
        <w:jc w:val="left"/>
      </w:pPr>
      <w:r>
        <w:rPr>
          <w:rFonts w:ascii="Arial" w:cs="Arial" w:eastAsia="Arial" w:hAnsi="Arial"/>
          <w:b w:val="false"/>
          <w:bCs w:val="false"/>
          <w:i w:val="false"/>
          <w:iCs w:val="false"/>
          <w:color w:val="374151"/>
          <w:sz w:val="20"/>
          <w:szCs w:val="20"/>
        </w:rPr>
        <w:t xml:space="preserve">This demo follows industry standard: the pricing chain uses Poisson × Gamma exclusively. The Methodology tab within the app retains a Tweedie distribution section as theoretical background — explaining the mathematical foundation of compound Poisson-Gamma distributions — but no Tweedie model is trained or used anywhere in the scoring pipeline.</w:t>
      </w:r>
    </w:p>
    <w:p>
      <w:pPr>
        <w:shd w:fill="EFF6FF" w:val="clear"/>
        <w:spacing w:before="80" w:after="120"/>
        <w:ind w:left="360"/>
      </w:pPr>
      <w:r>
        <w:rPr>
          <w:rFonts w:ascii="Arial" w:cs="Arial" w:eastAsia="Arial" w:hAnsi="Arial"/>
          <w:i/>
          <w:iCs/>
          <w:color w:val="1D4ED8"/>
          <w:sz w:val="18"/>
          <w:szCs w:val="18"/>
        </w:rPr>
        <w:t xml:space="preserve">Key distinction: The Tweedie distribution theory is relevant educational context (it explains why insurance loss data behaves the way it does). But the production architecture is Poisson × Gamma, and the app’s coefficient tables, SHAP values, and pricing outputs all come from these two separate GLMs.</w:t>
      </w:r>
    </w:p>
    <w:p>
      <w:pPr>
        <w:pStyle w:val="Heading2"/>
        <w:spacing w:before="300" w:after="160"/>
      </w:pPr>
      <w:r>
        <w:rPr>
          <w:rFonts w:ascii="Arial" w:cs="Arial" w:eastAsia="Arial" w:hAnsi="Arial"/>
          <w:b/>
          <w:bCs/>
          <w:color w:val="1D4ED8"/>
          <w:sz w:val="26"/>
          <w:szCs w:val="26"/>
        </w:rPr>
        <w:t xml:space="preserve">2.3 The Additive Limitation</w:t>
      </w:r>
    </w:p>
    <w:p>
      <w:pPr>
        <w:spacing w:after="120"/>
        <w:jc w:val="left"/>
      </w:pPr>
      <w:r>
        <w:rPr>
          <w:rFonts w:ascii="Arial" w:cs="Arial" w:eastAsia="Arial" w:hAnsi="Arial"/>
          <w:b w:val="false"/>
          <w:bCs w:val="false"/>
          <w:i w:val="false"/>
          <w:iCs w:val="false"/>
          <w:color w:val="374151"/>
          <w:sz w:val="20"/>
          <w:szCs w:val="20"/>
        </w:rPr>
        <w:t xml:space="preserve">The GLM’s linear predictor is additive: each feature contributes independently. It assumes the effect of roof age is the same regardless of wildfire exposure. In reality, a 25-year-old wood-shake roof in a high-wildfire zone is a categorically different risk — embers ignite deteriorated shingles at temperatures the roof was not rated to withstand. The joint risk is super-multiplicative.</w:t>
      </w:r>
    </w:p>
    <w:p>
      <w:pPr>
        <w:spacing w:after="120"/>
        <w:jc w:val="left"/>
      </w:pPr>
      <w:r>
        <w:rPr>
          <w:rFonts w:ascii="Arial" w:cs="Arial" w:eastAsia="Arial" w:hAnsi="Arial"/>
          <w:b w:val="false"/>
          <w:bCs w:val="false"/>
          <w:i w:val="false"/>
          <w:iCs w:val="false"/>
          <w:color w:val="374151"/>
          <w:sz w:val="20"/>
          <w:szCs w:val="20"/>
        </w:rPr>
        <w:t xml:space="preserve">With 25 variables there are 300 possible pairwise and 2,300 three-way interactions. Manual discovery is intractable. That is the gap the M̂ ensemble fills.</w:t>
      </w:r>
    </w:p>
    <w:p>
      <w:pPr>
        <w:pStyle w:val="Heading2"/>
        <w:spacing w:before="300" w:after="160"/>
      </w:pPr>
      <w:r>
        <w:rPr>
          <w:rFonts w:ascii="Arial" w:cs="Arial" w:eastAsia="Arial" w:hAnsi="Arial"/>
          <w:b/>
          <w:bCs/>
          <w:color w:val="1D4ED8"/>
          <w:sz w:val="26"/>
          <w:szCs w:val="26"/>
        </w:rPr>
        <w:t xml:space="preserve">2.4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80"/>
        <w:gridCol w:w="3580"/>
      </w:tblGrid>
      <w:tr>
        <w:tc>
          <w:tcPr>
            <w:tcW w:type="dxa" w:w="2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Vendor</w:t>
            </w:r>
          </w:p>
        </w:tc>
        <w:tc>
          <w:tcPr>
            <w:tcW w:type="dxa" w:w="37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Strength</w:t>
            </w:r>
          </w:p>
        </w:tc>
        <w:tc>
          <w:tcPr>
            <w:tcW w:type="dxa" w:w="35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Interaction Limitation</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ZestyAI</w:t>
            </w:r>
          </w:p>
        </w:tc>
        <w:tc>
          <w:tcPr>
            <w:tcW w:type="dxa" w:w="37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Z-FIRE/Z-HAIL/Z-WIND; 70+ regulatory approvals; 99.7% US coverage</w:t>
            </w:r>
          </w:p>
        </w:tc>
        <w:tc>
          <w:tcPr>
            <w:tcW w:type="dxa" w:w="35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Peril-specific; no cross-peril interaction modeling</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CAPE Analytics / Moody’s</w:t>
            </w:r>
          </w:p>
        </w:tc>
        <w:tc>
          <w:tcPr>
            <w:tcW w:type="dxa" w:w="37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Roof condition trusted by 50%+ top carriers; 40+ state approvals</w:t>
            </w:r>
          </w:p>
        </w:tc>
        <w:tc>
          <w:tcPr>
            <w:tcW w:type="dxa" w:w="35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Exterior-only; no interior plumbing/wiring data</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HazardHub / Guidewire</w:t>
            </w:r>
          </w:p>
        </w:tc>
        <w:tc>
          <w:tcPr>
            <w:tcW w:type="dxa" w:w="37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1,250+ data points; 50+ peril scores; &lt;100ms</w:t>
            </w:r>
          </w:p>
        </w:tc>
        <w:tc>
          <w:tcPr>
            <w:tcW w:type="dxa" w:w="35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Additive scoring; no cross-peril amplification</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Verisk</w:t>
            </w:r>
          </w:p>
        </w:tc>
        <w:tc>
          <w:tcPr>
            <w:tcW w:type="dxa" w:w="37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CLUE 7-year claims; ISO protection class; 360Value RCV</w:t>
            </w:r>
          </w:p>
        </w:tc>
        <w:tc>
          <w:tcPr>
            <w:tcW w:type="dxa" w:w="35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Legacy framework; interactions not explicitly modeled</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CoreLogic / Cotality</w:t>
            </w:r>
          </w:p>
        </w:tc>
        <w:tc>
          <w:tcPr>
            <w:tcW w:type="dxa" w:w="37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4.5B property records; Marshall &amp; Swift reconstruction cost</w:t>
            </w:r>
          </w:p>
        </w:tc>
        <w:tc>
          <w:tcPr>
            <w:tcW w:type="dxa" w:w="35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Data provider; interaction discovery left to carrier</w:t>
            </w:r>
          </w:p>
        </w:tc>
      </w:tr>
    </w:tbl>
    <w:p>
      <w:pPr>
        <w:spacing w:after="120"/>
        <w:jc w:val="left"/>
      </w:pPr>
      <w:r>
        <w:rPr>
          <w:rFonts w:ascii="Arial" w:cs="Arial" w:eastAsia="Arial" w:hAnsi="Arial"/>
          <w:b w:val="false"/>
          <w:bCs w:val="false"/>
          <w:i w:val="false"/>
          <w:iCs w:val="false"/>
          <w:color w:val="374151"/>
          <w:sz w:val="20"/>
          <w:szCs w:val="20"/>
        </w:rPr>
        <w:t xml:space="preserve"/>
      </w:r>
    </w:p>
    <w:p>
      <w:r>
        <w:br w:type="page"/>
      </w:r>
    </w:p>
    <w:p>
      <w:pPr>
        <w:pStyle w:val="Heading1"/>
        <w:spacing w:before="360" w:after="200"/>
      </w:pPr>
      <w:r>
        <w:rPr>
          <w:rFonts w:ascii="Arial" w:cs="Arial" w:eastAsia="Arial" w:hAnsi="Arial"/>
          <w:b/>
          <w:bCs/>
          <w:color w:val="0F172A"/>
          <w:sz w:val="32"/>
          <w:szCs w:val="32"/>
        </w:rPr>
        <w:t xml:space="preserve">3. Solution Architecture: The M̂ Interaction Multiplier</w:t>
      </w:r>
    </w:p>
    <w:p>
      <w:pPr>
        <w:pStyle w:val="Heading2"/>
        <w:spacing w:before="300" w:after="160"/>
      </w:pPr>
      <w:r>
        <w:rPr>
          <w:rFonts w:ascii="Arial" w:cs="Arial" w:eastAsia="Arial" w:hAnsi="Arial"/>
          <w:b/>
          <w:bCs/>
          <w:color w:val="1D4ED8"/>
          <w:sz w:val="26"/>
          <w:szCs w:val="26"/>
        </w:rPr>
        <w:t xml:space="preserve">3.1 The GLM Improver Pattern</w:t>
      </w:r>
    </w:p>
    <w:p>
      <w:pPr>
        <w:spacing w:after="120"/>
        <w:jc w:val="left"/>
      </w:pPr>
      <w:r>
        <w:rPr>
          <w:rFonts w:ascii="Arial" w:cs="Arial" w:eastAsia="Arial" w:hAnsi="Arial"/>
          <w:b w:val="false"/>
          <w:bCs w:val="false"/>
          <w:i w:val="false"/>
          <w:iCs w:val="false"/>
          <w:color w:val="374151"/>
          <w:sz w:val="20"/>
          <w:szCs w:val="20"/>
        </w:rPr>
        <w:t xml:space="preserve">The architecture follows the Dai (CAS E-Forum, Spring 2018) GLM Improver workflow:</w:t>
      </w:r>
    </w:p>
    <w:p>
      <w:pPr>
        <w:pStyle w:val="ListParagraph"/>
        <w:numPr>
          <w:ilvl w:val="0"/>
          <w:numId w:val="4"/>
        </w:numPr>
        <w:spacing w:after="80"/>
      </w:pPr>
      <w:r>
        <w:rPr>
          <w:rFonts w:ascii="Arial" w:cs="Arial" w:eastAsia="Arial" w:hAnsi="Arial"/>
          <w:color w:val="374151"/>
          <w:sz w:val="20"/>
          <w:szCs w:val="20"/>
        </w:rPr>
        <w:t xml:space="preserve">Fit a baseline Poisson GLM (λ) and Gamma GLM (μ) with main effects (T1+T2 features).</w:t>
      </w:r>
    </w:p>
    <w:p>
      <w:pPr>
        <w:pStyle w:val="ListParagraph"/>
        <w:numPr>
          <w:ilvl w:val="0"/>
          <w:numId w:val="4"/>
        </w:numPr>
        <w:spacing w:after="80"/>
      </w:pPr>
      <w:r>
        <w:rPr>
          <w:rFonts w:ascii="Arial" w:cs="Arial" w:eastAsia="Arial" w:hAnsi="Arial"/>
          <w:color w:val="374151"/>
          <w:sz w:val="20"/>
          <w:szCs w:val="20"/>
        </w:rPr>
        <w:t xml:space="preserve">Compute group-level O/E residuals: for each interaction cell, O/E = Σ(actual losses) / Σ(GLM predictions). When O/E &gt; 1.0, the GLM under-predicted that combination.</w:t>
      </w:r>
    </w:p>
    <w:p>
      <w:pPr>
        <w:pStyle w:val="ListParagraph"/>
        <w:numPr>
          <w:ilvl w:val="0"/>
          <w:numId w:val="4"/>
        </w:numPr>
        <w:spacing w:after="80"/>
      </w:pPr>
      <w:r>
        <w:rPr>
          <w:rFonts w:ascii="Arial" w:cs="Arial" w:eastAsia="Arial" w:hAnsi="Arial"/>
          <w:color w:val="374151"/>
          <w:sz w:val="20"/>
          <w:szCs w:val="20"/>
        </w:rPr>
        <w:t xml:space="preserve">Train a stacked ensemble on these O/E targets using Tier 3 features. The ensemble learns which compound-peril co-exposures systematically drive O/E above 1.0.</w:t>
      </w:r>
    </w:p>
    <w:p>
      <w:pPr>
        <w:pStyle w:val="ListParagraph"/>
        <w:numPr>
          <w:ilvl w:val="0"/>
          <w:numId w:val="4"/>
        </w:numPr>
        <w:spacing w:after="80"/>
      </w:pPr>
      <w:r>
        <w:rPr>
          <w:rFonts w:ascii="Arial" w:cs="Arial" w:eastAsia="Arial" w:hAnsi="Arial"/>
          <w:color w:val="374151"/>
          <w:sz w:val="20"/>
          <w:szCs w:val="20"/>
        </w:rPr>
        <w:t xml:space="preserve">At scoring time: E[L] = λ_GLM × μ_GLM × M̂. The GLM remains the filed model; M̂ is an internal overlay.</w:t>
      </w:r>
    </w:p>
    <w:p>
      <w:pPr>
        <w:pStyle w:val="Heading2"/>
        <w:spacing w:before="300" w:after="160"/>
      </w:pPr>
      <w:r>
        <w:rPr>
          <w:rFonts w:ascii="Arial" w:cs="Arial" w:eastAsia="Arial" w:hAnsi="Arial"/>
          <w:b/>
          <w:bCs/>
          <w:color w:val="1D4ED8"/>
          <w:sz w:val="26"/>
          <w:szCs w:val="26"/>
        </w:rPr>
        <w:t xml:space="preserve">3.2 How M̂ Discovers Interactions — The Full Mechanism</w:t>
      </w:r>
    </w:p>
    <w:p>
      <w:pPr>
        <w:pStyle w:val="Heading3"/>
        <w:spacing w:before="240" w:after="120"/>
      </w:pPr>
      <w:r>
        <w:rPr>
          <w:rFonts w:ascii="Arial" w:cs="Arial" w:eastAsia="Arial" w:hAnsi="Arial"/>
          <w:b/>
          <w:bCs/>
          <w:color w:val="6D28D9"/>
          <w:sz w:val="22"/>
          <w:szCs w:val="22"/>
        </w:rPr>
        <w:t xml:space="preserve">3.2.1 The 94%-Zero Problem and Group O/E Aggregation</w:t>
      </w:r>
    </w:p>
    <w:p>
      <w:pPr>
        <w:spacing w:after="120"/>
        <w:jc w:val="left"/>
      </w:pPr>
      <w:r>
        <w:rPr>
          <w:rFonts w:ascii="Arial" w:cs="Arial" w:eastAsia="Arial" w:hAnsi="Arial"/>
          <w:b w:val="false"/>
          <w:bCs w:val="false"/>
          <w:i w:val="false"/>
          <w:iCs w:val="false"/>
          <w:color w:val="374151"/>
          <w:sz w:val="20"/>
          <w:szCs w:val="20"/>
        </w:rPr>
        <w:t xml:space="preserve">The naïve approach — dividing each policy’s actual loss by its GLM prediction — fails because ~94% of homeowner policies generate zero claims annually. For these, M_actual = 0 / GLM_pred = 0, which carries no signal.</w:t>
      </w:r>
    </w:p>
    <w:p>
      <w:pPr>
        <w:spacing w:after="120"/>
        <w:jc w:val="left"/>
      </w:pPr>
      <w:r>
        <w:rPr>
          <w:rFonts w:ascii="Arial" w:cs="Arial" w:eastAsia="Arial" w:hAnsi="Arial"/>
          <w:b w:val="false"/>
          <w:bCs w:val="false"/>
          <w:i w:val="false"/>
          <w:iCs w:val="false"/>
          <w:color w:val="374151"/>
          <w:sz w:val="20"/>
          <w:szCs w:val="20"/>
        </w:rPr>
        <w:t xml:space="preserve">The solution is actuarial group-level Observed/Expected (O/E) aggregation. Policies are grouped into interaction cells:</w:t>
      </w:r>
    </w:p>
    <w:p>
      <w:pPr>
        <w:spacing w:before="120" w:after="120"/>
        <w:ind w:left="720"/>
      </w:pPr>
      <w:r>
        <w:rPr>
          <w:rFonts w:ascii="Courier New" w:cs="Courier New" w:eastAsia="Courier New" w:hAnsi="Courier New"/>
          <w:b/>
          <w:bCs/>
          <w:color w:val="92400E"/>
          <w:sz w:val="20"/>
          <w:szCs w:val="20"/>
        </w:rPr>
        <w:t xml:space="preserve">Cell Key = wildfire_zone | roof_material | flood_zone | earthquake_zone | slope_bin(&gt;55%)</w:t>
      </w:r>
    </w:p>
    <w:p>
      <w:pPr>
        <w:spacing w:before="120" w:after="120"/>
        <w:ind w:left="720"/>
      </w:pPr>
      <w:r>
        <w:rPr>
          <w:rFonts w:ascii="Courier New" w:cs="Courier New" w:eastAsia="Courier New" w:hAnsi="Courier New"/>
          <w:b/>
          <w:bCs/>
          <w:color w:val="92400E"/>
          <w:sz w:val="20"/>
          <w:szCs w:val="20"/>
        </w:rPr>
        <w:t xml:space="preserve">Group_O/E = Σ(actual_claim_amounts) / Σ(GLM_predictions)</w:t>
      </w:r>
    </w:p>
    <w:p>
      <w:pPr>
        <w:spacing w:after="120"/>
        <w:jc w:val="left"/>
      </w:pPr>
      <w:r>
        <w:rPr>
          <w:rFonts w:ascii="Arial" w:cs="Arial" w:eastAsia="Arial" w:hAnsi="Arial"/>
          <w:b w:val="false"/>
          <w:bCs w:val="false"/>
          <w:i w:val="false"/>
          <w:iCs w:val="false"/>
          <w:color w:val="374151"/>
          <w:sz w:val="20"/>
          <w:szCs w:val="20"/>
        </w:rPr>
        <w:t xml:space="preserve">Cells with &lt;10 policies fall back to 1.0 (neutral). This recovers the systematic interaction signal: even though individual zero-claim policies have M_actual = 0, the group’s total actual vs predicted reveals whether the GLM systematically misprices that feature combination.</w:t>
      </w:r>
    </w:p>
    <w:p>
      <w:pPr>
        <w:shd w:fill="EFF6FF" w:val="clear"/>
        <w:spacing w:before="80" w:after="120"/>
        <w:ind w:left="360"/>
      </w:pPr>
      <w:r>
        <w:rPr>
          <w:rFonts w:ascii="Arial" w:cs="Arial" w:eastAsia="Arial" w:hAnsi="Arial"/>
          <w:i/>
          <w:iCs/>
          <w:color w:val="1D4ED8"/>
          <w:sz w:val="18"/>
          <w:szCs w:val="18"/>
        </w:rPr>
        <w:t xml:space="preserve">Worked example: A cell with 200 Wood Shake + High Wildfire policies might have total actual losses of $3.5M but total GLM predictions of only $1.0M, yielding O/E = 3.5×. The GLM under-predicted by 3.5× because it treated roof and wildfire additively.</w:t>
      </w:r>
    </w:p>
    <w:p>
      <w:pPr>
        <w:pStyle w:val="Heading3"/>
        <w:spacing w:before="240" w:after="120"/>
      </w:pPr>
      <w:r>
        <w:rPr>
          <w:rFonts w:ascii="Arial" w:cs="Arial" w:eastAsia="Arial" w:hAnsi="Arial"/>
          <w:b/>
          <w:bCs/>
          <w:color w:val="6D28D9"/>
          <w:sz w:val="22"/>
          <w:szCs w:val="22"/>
        </w:rPr>
        <w:t xml:space="preserve">3.2.2 What the Ensemble Sees — Bounded Feature Scope</w:t>
      </w:r>
    </w:p>
    <w:p>
      <w:pPr>
        <w:spacing w:after="120"/>
        <w:jc w:val="left"/>
      </w:pPr>
      <w:r>
        <w:rPr>
          <w:rFonts w:ascii="Arial" w:cs="Arial" w:eastAsia="Arial" w:hAnsi="Arial"/>
          <w:b w:val="false"/>
          <w:bCs w:val="false"/>
          <w:i w:val="false"/>
          <w:iCs w:val="false"/>
          <w:color w:val="374151"/>
          <w:sz w:val="20"/>
          <w:szCs w:val="20"/>
        </w:rPr>
        <w:t xml:space="preserve">The M̂ ensemble operates on 14 pre-defined Tier 3 features: wildfire_zone, flood_zone, earthquake_zone, roof_material, hail_zone, vegetation_risk_composite, defensible_space_score, dist_to_coast_mi, dist_to_fire_station_mi, roof_age_yr, construction_type, state, slope_steepness_pct, post_burn_rainfall_intensity.</w:t>
      </w:r>
    </w:p>
    <w:p>
      <w:pPr>
        <w:spacing w:after="120"/>
        <w:jc w:val="left"/>
      </w:pPr>
      <w:r>
        <w:rPr>
          <w:rFonts w:ascii="Arial" w:cs="Arial" w:eastAsia="Arial" w:hAnsi="Arial"/>
          <w:b w:val="false"/>
          <w:bCs w:val="false"/>
          <w:i w:val="false"/>
          <w:iCs w:val="false"/>
          <w:color w:val="374151"/>
          <w:sz w:val="20"/>
          <w:szCs w:val="20"/>
        </w:rPr>
        <w:t xml:space="preserve">This is a deliberate architectural constraint:</w:t>
      </w:r>
    </w:p>
    <w:p>
      <w:pPr>
        <w:pStyle w:val="ListParagraph"/>
        <w:numPr>
          <w:ilvl w:val="0"/>
          <w:numId w:val="2"/>
        </w:numPr>
        <w:spacing w:after="80"/>
      </w:pPr>
      <w:r>
        <w:rPr>
          <w:rFonts w:ascii="Arial" w:cs="Arial" w:eastAsia="Arial" w:hAnsi="Arial"/>
          <w:b/>
          <w:bCs/>
          <w:color w:val="374151"/>
          <w:sz w:val="20"/>
          <w:szCs w:val="20"/>
        </w:rPr>
        <w:t xml:space="preserve">Prevents double-counting: </w:t>
      </w:r>
      <w:r>
        <w:rPr>
          <w:rFonts w:ascii="Arial" w:cs="Arial" w:eastAsia="Arial" w:hAnsi="Arial"/>
          <w:color w:val="374151"/>
          <w:sz w:val="20"/>
          <w:szCs w:val="20"/>
        </w:rPr>
        <w:t xml:space="preserve">T1+T2 features are already captured by the GLMs. If M̂ also received credit_score or prior_claims, it could re-learn main effects, breaking the clean GLM + M̂ separation.</w:t>
      </w:r>
    </w:p>
    <w:p>
      <w:pPr>
        <w:pStyle w:val="ListParagraph"/>
        <w:numPr>
          <w:ilvl w:val="0"/>
          <w:numId w:val="2"/>
        </w:numPr>
        <w:spacing w:after="80"/>
      </w:pPr>
      <w:r>
        <w:rPr>
          <w:rFonts w:ascii="Arial" w:cs="Arial" w:eastAsia="Arial" w:hAnsi="Arial"/>
          <w:b/>
          <w:bCs/>
          <w:color w:val="374151"/>
          <w:sz w:val="20"/>
          <w:szCs w:val="20"/>
        </w:rPr>
        <w:t xml:space="preserve">Focuses on interactions: </w:t>
      </w:r>
      <w:r>
        <w:rPr>
          <w:rFonts w:ascii="Arial" w:cs="Arial" w:eastAsia="Arial" w:hAnsi="Arial"/>
          <w:color w:val="374151"/>
          <w:sz w:val="20"/>
          <w:szCs w:val="20"/>
        </w:rPr>
        <w:t xml:space="preserve">By restricting to T3, the ensemble can only improve predictions by finding combinations within the hazard/peril space.</w:t>
      </w:r>
    </w:p>
    <w:p>
      <w:pPr>
        <w:pStyle w:val="ListParagraph"/>
        <w:numPr>
          <w:ilvl w:val="0"/>
          <w:numId w:val="2"/>
        </w:numPr>
        <w:spacing w:after="80"/>
      </w:pPr>
      <w:r>
        <w:rPr>
          <w:rFonts w:ascii="Arial" w:cs="Arial" w:eastAsia="Arial" w:hAnsi="Arial"/>
          <w:b/>
          <w:bCs/>
          <w:color w:val="374151"/>
          <w:sz w:val="20"/>
          <w:szCs w:val="20"/>
        </w:rPr>
        <w:t xml:space="preserve">Preserves regulatory separation: </w:t>
      </w:r>
      <w:r>
        <w:rPr>
          <w:rFonts w:ascii="Arial" w:cs="Arial" w:eastAsia="Arial" w:hAnsi="Arial"/>
          <w:color w:val="374151"/>
          <w:sz w:val="20"/>
          <w:szCs w:val="20"/>
        </w:rPr>
        <w:t xml:space="preserve">The GLM is the filed model. If M̂ used protected-class-adjacent variables (credit, ZIP), it would inherit the same regulatory scrutiny. The T3 boundary keeps M̂ as a peril-only overlay.</w:t>
      </w:r>
    </w:p>
    <w:p>
      <w:pPr>
        <w:spacing w:after="120"/>
        <w:jc w:val="left"/>
      </w:pPr>
      <w:r>
        <w:rPr>
          <w:rFonts w:ascii="Arial" w:cs="Arial" w:eastAsia="Arial" w:hAnsi="Arial"/>
          <w:b w:val="false"/>
          <w:bCs w:val="false"/>
          <w:i w:val="false"/>
          <w:iCs w:val="false"/>
          <w:color w:val="374151"/>
          <w:sz w:val="20"/>
          <w:szCs w:val="20"/>
        </w:rPr>
        <w:t xml:space="preserve">The tree-based models can discover any non-linear split or multi-way interaction within these 14 features. The cell key uses 5 dimensions for the training target, but the ensemble’s feature space is the full 14-variable T3 set — it can find vegetation × coast interactions, hail × roof age patterns, or state-specific amplification effects the cell key does not explicitly encode.</w:t>
      </w:r>
    </w:p>
    <w:p>
      <w:pPr>
        <w:pStyle w:val="Heading3"/>
        <w:spacing w:before="240" w:after="120"/>
      </w:pPr>
      <w:r>
        <w:rPr>
          <w:rFonts w:ascii="Arial" w:cs="Arial" w:eastAsia="Arial" w:hAnsi="Arial"/>
          <w:b/>
          <w:bCs/>
          <w:color w:val="6D28D9"/>
          <w:sz w:val="22"/>
          <w:szCs w:val="22"/>
        </w:rPr>
        <w:t xml:space="preserve">3.2.3 The Discovery Cycle — From Open-Ended Exploration to Production Encoding</w:t>
      </w:r>
    </w:p>
    <w:p>
      <w:pPr>
        <w:spacing w:after="120"/>
        <w:jc w:val="left"/>
      </w:pPr>
      <w:r>
        <w:rPr>
          <w:rFonts w:ascii="Arial" w:cs="Arial" w:eastAsia="Arial" w:hAnsi="Arial"/>
          <w:b w:val="false"/>
          <w:bCs w:val="false"/>
          <w:i w:val="false"/>
          <w:iCs w:val="false"/>
          <w:color w:val="374151"/>
          <w:sz w:val="20"/>
          <w:szCs w:val="20"/>
        </w:rPr>
        <w:t xml:space="preserve">A natural question: why not give M̂ all features and let it discover interactions from scratch? The answer involves understanding the distinction between the discovery step and the scoring step.</w:t>
      </w:r>
    </w:p>
    <w:p>
      <w:pPr>
        <w:spacing w:after="120"/>
        <w:jc w:val="left"/>
      </w:pPr>
      <w:r>
        <w:rPr>
          <w:rFonts w:ascii="Arial" w:cs="Arial" w:eastAsia="Arial" w:hAnsi="Arial"/>
          <w:b w:val="false"/>
          <w:bCs w:val="false"/>
          <w:i w:val="false"/>
          <w:iCs w:val="false"/>
          <w:color w:val="374151"/>
          <w:sz w:val="20"/>
          <w:szCs w:val="20"/>
        </w:rPr>
        <w:t xml:space="preserve">In a production carrier deployment, the workflow is cyclical:</w:t>
      </w:r>
    </w:p>
    <w:p>
      <w:pPr>
        <w:pStyle w:val="ListParagraph"/>
        <w:numPr>
          <w:ilvl w:val="0"/>
          <w:numId w:val="5"/>
        </w:numPr>
        <w:spacing w:after="80"/>
      </w:pPr>
      <w:r>
        <w:rPr>
          <w:rFonts w:ascii="Arial" w:cs="Arial" w:eastAsia="Arial" w:hAnsi="Arial"/>
          <w:color w:val="374151"/>
          <w:sz w:val="20"/>
          <w:szCs w:val="20"/>
        </w:rPr>
        <w:t xml:space="preserve">Run XGBoost/GBM on all T1+T2+T3 features (or on GLM residuals with all features). This is the open-ended discovery step.</w:t>
      </w:r>
    </w:p>
    <w:p>
      <w:pPr>
        <w:pStyle w:val="ListParagraph"/>
        <w:numPr>
          <w:ilvl w:val="0"/>
          <w:numId w:val="5"/>
        </w:numPr>
        <w:spacing w:after="80"/>
      </w:pPr>
      <w:r>
        <w:rPr>
          <w:rFonts w:ascii="Arial" w:cs="Arial" w:eastAsia="Arial" w:hAnsi="Arial"/>
          <w:color w:val="374151"/>
          <w:sz w:val="20"/>
          <w:szCs w:val="20"/>
        </w:rPr>
        <w:t xml:space="preserve">Extract SHAP interaction values. These rank every feature pair by interaction strength, surfacing candidates the actuary may not have hypothesised.</w:t>
      </w:r>
    </w:p>
    <w:p>
      <w:pPr>
        <w:pStyle w:val="ListParagraph"/>
        <w:numPr>
          <w:ilvl w:val="0"/>
          <w:numId w:val="5"/>
        </w:numPr>
        <w:spacing w:after="80"/>
      </w:pPr>
      <w:r>
        <w:rPr>
          <w:rFonts w:ascii="Arial" w:cs="Arial" w:eastAsia="Arial" w:hAnsi="Arial"/>
          <w:color w:val="374151"/>
          <w:sz w:val="20"/>
          <w:szCs w:val="20"/>
        </w:rPr>
        <w:t xml:space="preserve">Domain experts review the top candidates: Are they actuarially defensible? Do they tell a story an underwriter can act on? Do they survive out-of-sample validation?</w:t>
      </w:r>
    </w:p>
    <w:p>
      <w:pPr>
        <w:pStyle w:val="ListParagraph"/>
        <w:numPr>
          <w:ilvl w:val="0"/>
          <w:numId w:val="5"/>
        </w:numPr>
        <w:spacing w:after="80"/>
      </w:pPr>
      <w:r>
        <w:rPr>
          <w:rFonts w:ascii="Arial" w:cs="Arial" w:eastAsia="Arial" w:hAnsi="Arial"/>
          <w:color w:val="374151"/>
          <w:sz w:val="20"/>
          <w:szCs w:val="20"/>
        </w:rPr>
        <w:t xml:space="preserve">Validated interactions are encoded either as explicit GLM terms (for the filed model) or added to the T3 feature list (for M̂).</w:t>
      </w:r>
    </w:p>
    <w:p>
      <w:pPr>
        <w:pStyle w:val="ListParagraph"/>
        <w:numPr>
          <w:ilvl w:val="0"/>
          <w:numId w:val="5"/>
        </w:numPr>
        <w:spacing w:after="80"/>
      </w:pPr>
      <w:r>
        <w:rPr>
          <w:rFonts w:ascii="Arial" w:cs="Arial" w:eastAsia="Arial" w:hAnsi="Arial"/>
          <w:color w:val="374151"/>
          <w:sz w:val="20"/>
          <w:szCs w:val="20"/>
        </w:rPr>
        <w:t xml:space="preserve">This cycle repeats quarterly or annually as new data arrives, new peril patterns emerge, and climate signals evolve.</w:t>
      </w:r>
    </w:p>
    <w:p>
      <w:pPr>
        <w:spacing w:after="120"/>
        <w:jc w:val="left"/>
      </w:pPr>
      <w:r>
        <w:rPr>
          <w:rFonts w:ascii="Arial" w:cs="Arial" w:eastAsia="Arial" w:hAnsi="Arial"/>
          <w:b w:val="false"/>
          <w:bCs w:val="false"/>
          <w:i w:val="false"/>
          <w:iCs w:val="false"/>
          <w:color w:val="374151"/>
          <w:sz w:val="20"/>
          <w:szCs w:val="20"/>
        </w:rPr>
        <w:t xml:space="preserve">The current demo implements the output of one such discovery cycle. The 14 T3 features and the named interactions are what a SHAP-driven discovery pass has already surfaced and validated. The demo frames this honestly: “What you see here is the result of one discovery cycle. In production, this cycle runs continuously.”</w:t>
      </w:r>
    </w:p>
    <w:p>
      <w:pPr>
        <w:shd w:fill="FFFBEB" w:val="clear"/>
        <w:spacing w:before="80" w:after="120"/>
        <w:ind w:left="360"/>
      </w:pPr>
      <w:r>
        <w:rPr>
          <w:rFonts w:ascii="Arial" w:cs="Arial" w:eastAsia="Arial" w:hAnsi="Arial"/>
          <w:i/>
          <w:iCs/>
          <w:color w:val="B45309"/>
          <w:sz w:val="18"/>
          <w:szCs w:val="18"/>
        </w:rPr>
        <w:t xml:space="preserve">Why not open-ended M̂ at scoring time? Three reasons: (1) double-counting breaks E[L] = GLM × M̂ when M̂ re-learns main effects; (2) group O/E cells explode into sparsity with 25+ features (most cells would have &lt;10 policies); (3) regulatory separation vanishes if M̂ uses credit or protected-class-adjacent variables.</w:t>
      </w:r>
    </w:p>
    <w:p>
      <w:pPr>
        <w:pStyle w:val="Heading3"/>
        <w:spacing w:before="240" w:after="120"/>
      </w:pPr>
      <w:r>
        <w:rPr>
          <w:rFonts w:ascii="Arial" w:cs="Arial" w:eastAsia="Arial" w:hAnsi="Arial"/>
          <w:b/>
          <w:bCs/>
          <w:color w:val="6D28D9"/>
          <w:sz w:val="22"/>
          <w:szCs w:val="22"/>
        </w:rPr>
        <w:t xml:space="preserve">3.2.4 Stacking Architecture</w:t>
      </w:r>
    </w:p>
    <w:p>
      <w:pPr>
        <w:spacing w:before="120" w:after="120"/>
        <w:ind w:left="720"/>
      </w:pPr>
      <w:r>
        <w:rPr>
          <w:rFonts w:ascii="Courier New" w:cs="Courier New" w:eastAsia="Courier New" w:hAnsi="Courier New"/>
          <w:b/>
          <w:bCs/>
          <w:color w:val="92400E"/>
          <w:sz w:val="20"/>
          <w:szCs w:val="20"/>
        </w:rPr>
        <w:t xml:space="preserve">M̂ = Isotonic( Ridge( RF(X_T3), HGB(X_T3), ET(X_T3) ) )</w:t>
      </w:r>
    </w:p>
    <w:p>
      <w:pPr>
        <w:pStyle w:val="ListParagraph"/>
        <w:numPr>
          <w:ilvl w:val="0"/>
          <w:numId w:val="2"/>
        </w:numPr>
        <w:spacing w:after="80"/>
      </w:pPr>
      <w:r>
        <w:rPr>
          <w:rFonts w:ascii="Arial" w:cs="Arial" w:eastAsia="Arial" w:hAnsi="Arial"/>
          <w:b/>
          <w:bCs/>
          <w:color w:val="374151"/>
          <w:sz w:val="20"/>
          <w:szCs w:val="20"/>
        </w:rPr>
        <w:t xml:space="preserve">Random Forest (300 trees, depth 7): </w:t>
      </w:r>
      <w:r>
        <w:rPr>
          <w:rFonts w:ascii="Arial" w:cs="Arial" w:eastAsia="Arial" w:hAnsi="Arial"/>
          <w:color w:val="374151"/>
          <w:sz w:val="20"/>
          <w:szCs w:val="20"/>
        </w:rPr>
        <w:t xml:space="preserve">Bagged predictions; low-variance; robust to O/E noise.</w:t>
      </w:r>
    </w:p>
    <w:p>
      <w:pPr>
        <w:pStyle w:val="ListParagraph"/>
        <w:numPr>
          <w:ilvl w:val="0"/>
          <w:numId w:val="2"/>
        </w:numPr>
        <w:spacing w:after="80"/>
      </w:pPr>
      <w:r>
        <w:rPr>
          <w:rFonts w:ascii="Arial" w:cs="Arial" w:eastAsia="Arial" w:hAnsi="Arial"/>
          <w:b/>
          <w:bCs/>
          <w:color w:val="374151"/>
          <w:sz w:val="20"/>
          <w:szCs w:val="20"/>
        </w:rPr>
        <w:t xml:space="preserve">HistGradientBoosting (400 iterations, depth 5): </w:t>
      </w:r>
      <w:r>
        <w:rPr>
          <w:rFonts w:ascii="Arial" w:cs="Arial" w:eastAsia="Arial" w:hAnsi="Arial"/>
          <w:color w:val="374151"/>
          <w:sz w:val="20"/>
          <w:szCs w:val="20"/>
        </w:rPr>
        <w:t xml:space="preserve">Boosted residual learner; captures non-linear interactions.</w:t>
      </w:r>
    </w:p>
    <w:p>
      <w:pPr>
        <w:pStyle w:val="ListParagraph"/>
        <w:numPr>
          <w:ilvl w:val="0"/>
          <w:numId w:val="2"/>
        </w:numPr>
        <w:spacing w:after="80"/>
      </w:pPr>
      <w:r>
        <w:rPr>
          <w:rFonts w:ascii="Arial" w:cs="Arial" w:eastAsia="Arial" w:hAnsi="Arial"/>
          <w:b/>
          <w:bCs/>
          <w:color w:val="374151"/>
          <w:sz w:val="20"/>
          <w:szCs w:val="20"/>
        </w:rPr>
        <w:t xml:space="preserve">ExtraTrees (300 trees, depth 7): </w:t>
      </w:r>
      <w:r>
        <w:rPr>
          <w:rFonts w:ascii="Arial" w:cs="Arial" w:eastAsia="Arial" w:hAnsi="Arial"/>
          <w:color w:val="374151"/>
          <w:sz w:val="20"/>
          <w:szCs w:val="20"/>
        </w:rPr>
        <w:t xml:space="preserve">Extremely randomised splits; model diversity for the meta-learner.</w:t>
      </w:r>
    </w:p>
    <w:p>
      <w:pPr>
        <w:spacing w:after="120"/>
        <w:jc w:val="left"/>
      </w:pPr>
      <w:r>
        <w:rPr>
          <w:rFonts w:ascii="Arial" w:cs="Arial" w:eastAsia="Arial" w:hAnsi="Arial"/>
          <w:b w:val="false"/>
          <w:bCs w:val="false"/>
          <w:i w:val="false"/>
          <w:iCs w:val="false"/>
          <w:color w:val="374151"/>
          <w:sz w:val="20"/>
          <w:szCs w:val="20"/>
        </w:rPr>
        <w:t xml:space="preserve">OOF (out-of-fold) stacking prevents leakage: 5-fold CV generates honest base-model predictions. Ridge regression combines them; Isotonic Regression ensures monotonicity. Final M̂ is clipped to [0.10, 8.00].</w:t>
      </w:r>
    </w:p>
    <w:p>
      <w:pPr>
        <w:pStyle w:val="Heading3"/>
        <w:spacing w:before="240" w:after="120"/>
      </w:pPr>
      <w:r>
        <w:rPr>
          <w:rFonts w:ascii="Arial" w:cs="Arial" w:eastAsia="Arial" w:hAnsi="Arial"/>
          <w:b/>
          <w:bCs/>
          <w:color w:val="6D28D9"/>
          <w:sz w:val="22"/>
          <w:szCs w:val="22"/>
        </w:rPr>
        <w:t xml:space="preserve">3.2.5 Revenue Neutrality</w:t>
      </w:r>
    </w:p>
    <w:p>
      <w:pPr>
        <w:spacing w:before="120" w:after="120"/>
        <w:ind w:left="720"/>
      </w:pPr>
      <w:r>
        <w:rPr>
          <w:rFonts w:ascii="Courier New" w:cs="Courier New" w:eastAsia="Courier New" w:hAnsi="Courier New"/>
          <w:b/>
          <w:bCs/>
          <w:color w:val="92400E"/>
          <w:sz w:val="20"/>
          <w:szCs w:val="20"/>
        </w:rPr>
        <w:t xml:space="preserve">M_normalised(i) = M_actual(i) / mean(M_actual)</w:t>
      </w:r>
    </w:p>
    <w:p>
      <w:pPr>
        <w:spacing w:after="120"/>
        <w:jc w:val="left"/>
      </w:pPr>
      <w:r>
        <w:rPr>
          <w:rFonts w:ascii="Arial" w:cs="Arial" w:eastAsia="Arial" w:hAnsi="Arial"/>
          <w:b w:val="false"/>
          <w:bCs w:val="false"/>
          <w:i w:val="false"/>
          <w:iCs w:val="false"/>
          <w:color w:val="374151"/>
          <w:sz w:val="20"/>
          <w:szCs w:val="20"/>
        </w:rPr>
        <w:t xml:space="preserve">M̂ is normalised so portfolio mean = 1.0. This means M̂ redistributes premium without changing total book premium. High-interaction policies pay more; low-interaction policies pay less. The carrier’s overall rate level is unchanged. This answers the carrier question: “Does this inflate my rates?” No.</w:t>
      </w:r>
    </w:p>
    <w:p>
      <w:pPr>
        <w:pStyle w:val="Heading2"/>
        <w:spacing w:before="300" w:after="160"/>
      </w:pPr>
      <w:r>
        <w:rPr>
          <w:rFonts w:ascii="Arial" w:cs="Arial" w:eastAsia="Arial" w:hAnsi="Arial"/>
          <w:b/>
          <w:bCs/>
          <w:color w:val="1D4ED8"/>
          <w:sz w:val="26"/>
          <w:szCs w:val="26"/>
        </w:rPr>
        <w:t xml:space="preserve">3.3 The Dual Interaction System: Narrative Labels vs Learned Predictions</w:t>
      </w:r>
    </w:p>
    <w:p>
      <w:pPr>
        <w:spacing w:after="120"/>
        <w:jc w:val="left"/>
      </w:pPr>
      <w:r>
        <w:rPr>
          <w:rFonts w:ascii="Arial" w:cs="Arial" w:eastAsia="Arial" w:hAnsi="Arial"/>
          <w:b w:val="false"/>
          <w:bCs w:val="false"/>
          <w:i w:val="false"/>
          <w:iCs w:val="false"/>
          <w:color w:val="374151"/>
          <w:sz w:val="20"/>
          <w:szCs w:val="20"/>
        </w:rPr>
        <w:t xml:space="preserve">The application contains two parallel systems for interaction effects:</w:t>
      </w:r>
    </w:p>
    <w:p>
      <w:pPr>
        <w:pStyle w:val="Heading3"/>
        <w:spacing w:before="240" w:after="120"/>
      </w:pPr>
      <w:r>
        <w:rPr>
          <w:rFonts w:ascii="Arial" w:cs="Arial" w:eastAsia="Arial" w:hAnsi="Arial"/>
          <w:b/>
          <w:bCs/>
          <w:color w:val="6D28D9"/>
          <w:sz w:val="22"/>
          <w:szCs w:val="22"/>
        </w:rPr>
        <w:t xml:space="preserve">3.3.1 System 1: Display-Only Rule-Based Labels</w:t>
      </w:r>
    </w:p>
    <w:p>
      <w:pPr>
        <w:spacing w:after="120"/>
        <w:jc w:val="left"/>
      </w:pPr>
      <w:r>
        <w:rPr>
          <w:rFonts w:ascii="Arial" w:cs="Arial" w:eastAsia="Arial" w:hAnsi="Arial"/>
          <w:b w:val="false"/>
          <w:bCs w:val="false"/>
          <w:i w:val="false"/>
          <w:iCs w:val="false"/>
          <w:color w:val="374151"/>
          <w:sz w:val="20"/>
          <w:szCs w:val="20"/>
        </w:rPr>
        <w:t xml:space="preserve">The function _get_interactions() contains hardcoded if/elif rules returning reference multiplier values from the m_overrides dictionary:</w:t>
      </w:r>
    </w:p>
    <w:p>
      <w:pPr>
        <w:spacing w:before="120" w:after="120"/>
        <w:ind w:left="720"/>
      </w:pPr>
      <w:r>
        <w:rPr>
          <w:rFonts w:ascii="Courier New" w:cs="Courier New" w:eastAsia="Courier New" w:hAnsi="Courier New"/>
          <w:b/>
          <w:bCs/>
          <w:color w:val="92400E"/>
          <w:sz w:val="20"/>
          <w:szCs w:val="20"/>
        </w:rPr>
        <w:t xml:space="preserve">if roof_material == 'Wood Shake' and wildfire_zone == 'High':</w:t>
      </w:r>
    </w:p>
    <w:p>
      <w:pPr>
        <w:spacing w:before="120" w:after="120"/>
        <w:ind w:left="720"/>
      </w:pPr>
      <w:r>
        <w:rPr>
          <w:rFonts w:ascii="Courier New" w:cs="Courier New" w:eastAsia="Courier New" w:hAnsi="Courier New"/>
          <w:b/>
          <w:bCs/>
          <w:color w:val="92400E"/>
          <w:sz w:val="20"/>
          <w:szCs w:val="20"/>
        </w:rPr>
        <w:t xml:space="preserve">    return ('Wood Shake × High Wildfire', ×3.50, ...)</w:t>
      </w:r>
    </w:p>
    <w:p>
      <w:pPr>
        <w:spacing w:after="120"/>
        <w:jc w:val="left"/>
      </w:pPr>
      <w:r>
        <w:rPr>
          <w:rFonts w:ascii="Arial" w:cs="Arial" w:eastAsia="Arial" w:hAnsi="Arial"/>
          <w:b w:val="false"/>
          <w:bCs w:val="false"/>
          <w:i w:val="false"/>
          <w:iCs w:val="false"/>
          <w:color w:val="374151"/>
          <w:sz w:val="20"/>
          <w:szCs w:val="20"/>
        </w:rPr>
        <w:t xml:space="preserve">These values are grounded in AIR/RMS/ISO literature. They appear in the UI’s “Active Interaction Multipliers” cards, the Live Interaction Signals panel, and the sidebar override sliders. They are never applied to M̂ or E[L]. The sidebar overrides let the demo operator tune the narrative without touching the model.</w:t>
      </w:r>
    </w:p>
    <w:p>
      <w:pPr>
        <w:pStyle w:val="Heading3"/>
        <w:spacing w:before="240" w:after="120"/>
      </w:pPr>
      <w:r>
        <w:rPr>
          <w:rFonts w:ascii="Arial" w:cs="Arial" w:eastAsia="Arial" w:hAnsi="Arial"/>
          <w:b/>
          <w:bCs/>
          <w:color w:val="6D28D9"/>
          <w:sz w:val="22"/>
          <w:szCs w:val="22"/>
        </w:rPr>
        <w:t xml:space="preserve">3.3.2 System 2: Learned Ensemble M̂</w:t>
      </w:r>
    </w:p>
    <w:p>
      <w:pPr>
        <w:spacing w:after="120"/>
        <w:jc w:val="left"/>
      </w:pPr>
      <w:r>
        <w:rPr>
          <w:rFonts w:ascii="Arial" w:cs="Arial" w:eastAsia="Arial" w:hAnsi="Arial"/>
          <w:b w:val="false"/>
          <w:bCs w:val="false"/>
          <w:i w:val="false"/>
          <w:iCs w:val="false"/>
          <w:color w:val="374151"/>
          <w:sz w:val="20"/>
          <w:szCs w:val="20"/>
        </w:rPr>
        <w:t xml:space="preserve">The function _mhat_predict() computes the actual M̂ from the stacked ensemble. This is the value that multiplies E[L] in the pricing formula. It cannot be overridden from the sidebar.</w:t>
      </w:r>
    </w:p>
    <w:p>
      <w:pPr>
        <w:pStyle w:val="Heading3"/>
        <w:spacing w:before="240" w:after="120"/>
      </w:pPr>
      <w:r>
        <w:rPr>
          <w:rFonts w:ascii="Arial" w:cs="Arial" w:eastAsia="Arial" w:hAnsi="Arial"/>
          <w:b/>
          <w:bCs/>
          <w:color w:val="6D28D9"/>
          <w:sz w:val="22"/>
          <w:szCs w:val="22"/>
        </w:rPr>
        <w:t xml:space="preserve">3.3.3 Why Both Exist</w:t>
      </w:r>
    </w:p>
    <w:p>
      <w:pPr>
        <w:spacing w:after="120"/>
        <w:jc w:val="left"/>
      </w:pPr>
      <w:r>
        <w:rPr>
          <w:rFonts w:ascii="Arial" w:cs="Arial" w:eastAsia="Arial" w:hAnsi="Arial"/>
          <w:b w:val="false"/>
          <w:bCs w:val="false"/>
          <w:i w:val="false"/>
          <w:iCs w:val="false"/>
          <w:color w:val="374151"/>
          <w:sz w:val="20"/>
          <w:szCs w:val="20"/>
        </w:rPr>
        <w:t xml:space="preserve">The UI shows both side by side:</w:t>
      </w:r>
    </w:p>
    <w:p>
      <w:pPr>
        <w:spacing w:before="120" w:after="120"/>
        <w:ind w:left="720"/>
      </w:pPr>
      <w:r>
        <w:rPr>
          <w:rFonts w:ascii="Courier New" w:cs="Courier New" w:eastAsia="Courier New" w:hAnsi="Courier New"/>
          <w:b/>
          <w:bCs/>
          <w:color w:val="92400E"/>
          <w:sz w:val="20"/>
          <w:szCs w:val="20"/>
        </w:rPr>
        <w:t xml:space="preserve">Rule-based M: 3.50 × 1.35 = ×4.725  |  Model M̂ (learned): ×3.420</w:t>
      </w:r>
    </w:p>
    <w:p>
      <w:pPr>
        <w:spacing w:before="120" w:after="120"/>
        <w:ind w:left="720"/>
      </w:pPr>
      <w:r>
        <w:rPr>
          <w:rFonts w:ascii="Courier New" w:cs="Courier New" w:eastAsia="Courier New" w:hAnsi="Courier New"/>
          <w:b/>
          <w:bCs/>
          <w:color w:val="92400E"/>
          <w:sz w:val="20"/>
          <w:szCs w:val="20"/>
        </w:rPr>
        <w:t xml:space="preserve">Difference = non-linear patterns the ensemble discovers beyond manual rules.</w:t>
      </w:r>
    </w:p>
    <w:p>
      <w:pPr>
        <w:spacing w:after="120"/>
        <w:jc w:val="left"/>
      </w:pPr>
      <w:r>
        <w:rPr>
          <w:rFonts w:ascii="Arial" w:cs="Arial" w:eastAsia="Arial" w:hAnsi="Arial"/>
          <w:b w:val="false"/>
          <w:bCs w:val="false"/>
          <w:i w:val="false"/>
          <w:iCs w:val="false"/>
          <w:color w:val="374151"/>
          <w:sz w:val="20"/>
          <w:szCs w:val="20"/>
        </w:rPr>
        <w:t xml:space="preserve">The rule-based labels explain what type of interaction is present. The ensemble quantifies its actual magnitude from data. The gap between the two demonstrates that the ML captures nuances hand-crafted rules cannot — a powerful demo moment for carrier data scientists.</w:t>
      </w:r>
    </w:p>
    <w:p>
      <w:pPr>
        <w:pStyle w:val="Heading2"/>
        <w:spacing w:before="300" w:after="160"/>
      </w:pPr>
      <w:r>
        <w:rPr>
          <w:rFonts w:ascii="Arial" w:cs="Arial" w:eastAsia="Arial" w:hAnsi="Arial"/>
          <w:b/>
          <w:bCs/>
          <w:color w:val="1D4ED8"/>
          <w:sz w:val="26"/>
          <w:szCs w:val="26"/>
        </w:rPr>
        <w:t xml:space="preserve">3.4 Named Interaction Effects</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2500"/>
        <w:gridCol w:w="750"/>
        <w:gridCol w:w="4410"/>
        <w:gridCol w:w="1000"/>
      </w:tblGrid>
      <w:tr>
        <w:tc>
          <w:tcPr>
            <w:tcW w:type="dxa" w:w="25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Interaction</w:t>
            </w:r>
          </w:p>
        </w:tc>
        <w:tc>
          <w:tcPr>
            <w:tcW w:type="dxa" w:w="75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Ref M̂</w:t>
            </w:r>
          </w:p>
        </w:tc>
        <w:tc>
          <w:tcPr>
            <w:tcW w:type="dxa" w:w="441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Physical Mechanism</w:t>
            </w:r>
          </w:p>
        </w:tc>
        <w:tc>
          <w:tcPr>
            <w:tcW w:type="dxa" w:w="1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R²</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Wood Shake × High Wildfire</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×3.50</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Embers travel 1+ mile; wood ignites at 572°F vs 700°F asphalt</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+6%</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High Flood × Coastal &lt;5mi</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×2.20</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Storm surge amplification; non-linear depth × proximity</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+3%</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Non-Wood × High Wildfire</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×1.80</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Ember intrusion through vents/eaves on resistant roofs</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+1.5%</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High Earthquake Zone</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×1.50</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Seismic + structural age compound</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+1%</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Old Roof × Frame</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×1.35</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Degraded sheathing + frame fuel load</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+0.5%</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Old Roof × High Hail</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×1.30</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Cumulative micro-damage; functional failure at lower sizes</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+0.5%</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Water Claims × High Vegetation</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×1.25</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Root intrusion + moisture cycle</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+0.5%</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Knob-and-Tube Wiring</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×1.20</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Arc-fault ignition 2–3× higher; invisible to satellite</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+0.3%</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Polybutylene Plumbing</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×1.22</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Oxidant degradation → catastrophic burst; invisible to exterior</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+0.3%</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Frame × PC ≥ 8</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×1.18</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Slow fire response + fast-igniting frame</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+0.3%</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Slope × WF × Post-burn Rain</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×1.45</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Three-way: Montecito 2018 debris flow archetype</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+0.5%</w:t>
            </w:r>
          </w:p>
        </w:tc>
      </w:tr>
      <w:tr>
        <w:tc>
          <w:tcPr>
            <w:tcW w:type="dxa" w:w="2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Defensible Space ≥80</w:t>
            </w:r>
          </w:p>
        </w:tc>
        <w:tc>
          <w:tcPr>
            <w:tcW w:type="dxa" w:w="75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×0.88</w:t>
            </w:r>
          </w:p>
        </w:tc>
        <w:tc>
          <w:tcPr>
            <w:tcW w:type="dxa" w:w="441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CA Reg 2644.9 mitigation credit (protective)</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prot.</w:t>
            </w:r>
          </w:p>
        </w:tc>
      </w:tr>
      <w:tr>
        <w:tc>
          <w:tcPr>
            <w:tcW w:type="dxa" w:w="2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New Superior Construction</w:t>
            </w:r>
          </w:p>
        </w:tc>
        <w:tc>
          <w:tcPr>
            <w:tcW w:type="dxa" w:w="75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×0.85</w:t>
            </w:r>
          </w:p>
        </w:tc>
        <w:tc>
          <w:tcPr>
            <w:tcW w:type="dxa" w:w="441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Modern code + materials quality (protective)</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prot.</w:t>
            </w:r>
          </w:p>
        </w:tc>
      </w:tr>
    </w:tbl>
    <w:p>
      <w:pPr>
        <w:spacing w:after="120"/>
        <w:jc w:val="left"/>
      </w:pPr>
      <w:r>
        <w:rPr>
          <w:rFonts w:ascii="Arial" w:cs="Arial" w:eastAsia="Arial" w:hAnsi="Arial"/>
          <w:b w:val="false"/>
          <w:bCs w:val="false"/>
          <w:i w:val="false"/>
          <w:iCs w:val="false"/>
          <w:color w:val="374151"/>
          <w:sz w:val="20"/>
          <w:szCs w:val="20"/>
        </w:rPr>
        <w:t xml:space="preserve"/>
      </w:r>
    </w:p>
    <w:p>
      <w:pPr>
        <w:shd w:fill="FFFBEB" w:val="clear"/>
        <w:spacing w:before="80" w:after="120"/>
        <w:ind w:left="360"/>
      </w:pPr>
      <w:r>
        <w:rPr>
          <w:rFonts w:ascii="Arial" w:cs="Arial" w:eastAsia="Arial" w:hAnsi="Arial"/>
          <w:i/>
          <w:iCs/>
          <w:color w:val="B45309"/>
          <w:sz w:val="18"/>
          <w:szCs w:val="18"/>
        </w:rPr>
        <w:t xml:space="preserve">These reference multipliers are display-only narrative labels. The actual M̂ applied to E[L] comes from the learned ensemble, which may be higher or lower depending on the full T3 feature profile.</w:t>
      </w:r>
    </w:p>
    <w:p>
      <w:r>
        <w:br w:type="page"/>
      </w:r>
    </w:p>
    <w:p>
      <w:pPr>
        <w:pStyle w:val="Heading1"/>
        <w:spacing w:before="360" w:after="200"/>
      </w:pPr>
      <w:r>
        <w:rPr>
          <w:rFonts w:ascii="Arial" w:cs="Arial" w:eastAsia="Arial" w:hAnsi="Arial"/>
          <w:b/>
          <w:bCs/>
          <w:color w:val="0F172A"/>
          <w:sz w:val="32"/>
          <w:szCs w:val="32"/>
        </w:rPr>
        <w:t xml:space="preserve">4. Mathematical Foundation</w:t>
      </w:r>
    </w:p>
    <w:p>
      <w:pPr>
        <w:pStyle w:val="Heading2"/>
        <w:spacing w:before="300" w:after="160"/>
      </w:pPr>
      <w:r>
        <w:rPr>
          <w:rFonts w:ascii="Arial" w:cs="Arial" w:eastAsia="Arial" w:hAnsi="Arial"/>
          <w:b/>
          <w:bCs/>
          <w:color w:val="1D4ED8"/>
          <w:sz w:val="26"/>
          <w:szCs w:val="26"/>
        </w:rPr>
        <w:t xml:space="preserve">4.1 The Pricing Formula Chain</w:t>
      </w:r>
    </w:p>
    <w:p>
      <w:pPr>
        <w:pStyle w:val="Heading3"/>
        <w:spacing w:before="240" w:after="120"/>
      </w:pPr>
      <w:r>
        <w:rPr>
          <w:rFonts w:ascii="Arial" w:cs="Arial" w:eastAsia="Arial" w:hAnsi="Arial"/>
          <w:b/>
          <w:bCs/>
          <w:color w:val="6D28D9"/>
          <w:sz w:val="22"/>
          <w:szCs w:val="22"/>
        </w:rPr>
        <w:t xml:space="preserve">Stage 1: Frequency (λ)</w:t>
      </w:r>
    </w:p>
    <w:p>
      <w:pPr>
        <w:spacing w:before="120" w:after="120"/>
        <w:ind w:left="720"/>
      </w:pPr>
      <w:r>
        <w:rPr>
          <w:rFonts w:ascii="Courier New" w:cs="Courier New" w:eastAsia="Courier New" w:hAnsi="Courier New"/>
          <w:b/>
          <w:bCs/>
          <w:color w:val="92400E"/>
          <w:sz w:val="20"/>
          <w:szCs w:val="20"/>
        </w:rPr>
        <w:t xml:space="preserve">log(λ) = β₀ + Σ βj·xj    [Poisson GLM, 24 T1+T2 features]</w:t>
      </w:r>
    </w:p>
    <w:p>
      <w:pPr>
        <w:spacing w:before="120" w:after="120"/>
        <w:ind w:left="720"/>
      </w:pPr>
      <w:r>
        <w:rPr>
          <w:rFonts w:ascii="Courier New" w:cs="Courier New" w:eastAsia="Courier New" w:hAnsi="Courier New"/>
          <w:b/>
          <w:bCs/>
          <w:color w:val="92400E"/>
          <w:sz w:val="20"/>
          <w:szCs w:val="20"/>
        </w:rPr>
        <w:t xml:space="preserve">λ = exp(β₀ + Σ βj·xj),  clipped to [0.002, 0.30]</w:t>
      </w:r>
    </w:p>
    <w:p>
      <w:pPr>
        <w:spacing w:after="120"/>
        <w:jc w:val="left"/>
      </w:pPr>
      <w:r>
        <w:rPr>
          <w:rFonts w:ascii="Arial" w:cs="Arial" w:eastAsia="Arial" w:hAnsi="Arial"/>
          <w:b w:val="false"/>
          <w:bCs w:val="false"/>
          <w:i w:val="false"/>
          <w:iCs w:val="false"/>
          <w:color w:val="374151"/>
          <w:sz w:val="20"/>
          <w:szCs w:val="20"/>
        </w:rPr>
        <w:t xml:space="preserve">Poisson models count data: P(N=k) = λ^k·exp(−λ)/k!. For homeowners, λ ≈ 0.053 (5.3% annual claim rate). Key drivers: prior claims (×1.32/claim), low credit, vacant occupancy (+65%).</w:t>
      </w:r>
    </w:p>
    <w:p>
      <w:pPr>
        <w:pStyle w:val="Heading3"/>
        <w:spacing w:before="240" w:after="120"/>
      </w:pPr>
      <w:r>
        <w:rPr>
          <w:rFonts w:ascii="Arial" w:cs="Arial" w:eastAsia="Arial" w:hAnsi="Arial"/>
          <w:b/>
          <w:bCs/>
          <w:color w:val="6D28D9"/>
          <w:sz w:val="22"/>
          <w:szCs w:val="22"/>
        </w:rPr>
        <w:t xml:space="preserve">Stage 2: Severity (μ)</w:t>
      </w:r>
    </w:p>
    <w:p>
      <w:pPr>
        <w:spacing w:before="120" w:after="120"/>
        <w:ind w:left="720"/>
      </w:pPr>
      <w:r>
        <w:rPr>
          <w:rFonts w:ascii="Courier New" w:cs="Courier New" w:eastAsia="Courier New" w:hAnsi="Courier New"/>
          <w:b/>
          <w:bCs/>
          <w:color w:val="92400E"/>
          <w:sz w:val="20"/>
          <w:szCs w:val="20"/>
        </w:rPr>
        <w:t xml:space="preserve">log(μ) = γ₀ + Σ γj·xj    [Gamma GLM, 24 T1+T2 features]</w:t>
      </w:r>
    </w:p>
    <w:p>
      <w:pPr>
        <w:spacing w:before="120" w:after="120"/>
        <w:ind w:left="720"/>
      </w:pPr>
      <w:r>
        <w:rPr>
          <w:rFonts w:ascii="Courier New" w:cs="Courier New" w:eastAsia="Courier New" w:hAnsi="Courier New"/>
          <w:b/>
          <w:bCs/>
          <w:color w:val="92400E"/>
          <w:sz w:val="20"/>
          <w:szCs w:val="20"/>
        </w:rPr>
        <w:t xml:space="preserve">μ = exp(γ₀ + Σ γj·xj),  clipped to [500, 600000]</w:t>
      </w:r>
    </w:p>
    <w:p>
      <w:pPr>
        <w:spacing w:after="120"/>
        <w:jc w:val="left"/>
      </w:pPr>
      <w:r>
        <w:rPr>
          <w:rFonts w:ascii="Arial" w:cs="Arial" w:eastAsia="Arial" w:hAnsi="Arial"/>
          <w:b w:val="false"/>
          <w:bCs w:val="false"/>
          <w:i w:val="false"/>
          <w:iCs w:val="false"/>
          <w:color w:val="374151"/>
          <w:sz w:val="20"/>
          <w:szCs w:val="20"/>
        </w:rPr>
        <w:t xml:space="preserve">Gamma is right-skewed and strictly positive. Mean homeowners severity: $13K–$16K. Both GLMs use a shared StandardScaler on the 24 T1+T2 features.</w:t>
      </w:r>
    </w:p>
    <w:p>
      <w:pPr>
        <w:pStyle w:val="Heading3"/>
        <w:spacing w:before="240" w:after="120"/>
      </w:pPr>
      <w:r>
        <w:rPr>
          <w:rFonts w:ascii="Arial" w:cs="Arial" w:eastAsia="Arial" w:hAnsi="Arial"/>
          <w:b/>
          <w:bCs/>
          <w:color w:val="6D28D9"/>
          <w:sz w:val="22"/>
          <w:szCs w:val="22"/>
        </w:rPr>
        <w:t xml:space="preserve">Stage 3: Interaction Multiplier (M̂)</w:t>
      </w:r>
    </w:p>
    <w:p>
      <w:pPr>
        <w:spacing w:before="120" w:after="120"/>
        <w:ind w:left="720"/>
      </w:pPr>
      <w:r>
        <w:rPr>
          <w:rFonts w:ascii="Courier New" w:cs="Courier New" w:eastAsia="Courier New" w:hAnsi="Courier New"/>
          <w:b/>
          <w:bCs/>
          <w:color w:val="92400E"/>
          <w:sz w:val="20"/>
          <w:szCs w:val="20"/>
        </w:rPr>
        <w:t xml:space="preserve">M̂ = Isotonic(Ridge(RF(X_T3), HGB(X_T3), ET(X_T3)))</w:t>
      </w:r>
    </w:p>
    <w:p>
      <w:pPr>
        <w:spacing w:before="120" w:after="120"/>
        <w:ind w:left="720"/>
      </w:pPr>
      <w:r>
        <w:rPr>
          <w:rFonts w:ascii="Courier New" w:cs="Courier New" w:eastAsia="Courier New" w:hAnsi="Courier New"/>
          <w:b/>
          <w:bCs/>
          <w:color w:val="92400E"/>
          <w:sz w:val="20"/>
          <w:szCs w:val="20"/>
        </w:rPr>
        <w:t xml:space="preserve">Training target: group O/E from GLM residuals (see Section 3.2.1)</w:t>
      </w:r>
    </w:p>
    <w:p>
      <w:pPr>
        <w:spacing w:before="120" w:after="120"/>
        <w:ind w:left="720"/>
      </w:pPr>
      <w:r>
        <w:rPr>
          <w:rFonts w:ascii="Courier New" w:cs="Courier New" w:eastAsia="Courier New" w:hAnsi="Courier New"/>
          <w:b/>
          <w:bCs/>
          <w:color w:val="92400E"/>
          <w:sz w:val="20"/>
          <w:szCs w:val="20"/>
        </w:rPr>
        <w:t xml:space="preserve">Input: 14 T3 features.  Clipped to [0.10, 8.00]</w:t>
      </w:r>
    </w:p>
    <w:p>
      <w:pPr>
        <w:pStyle w:val="Heading3"/>
        <w:spacing w:before="240" w:after="120"/>
      </w:pPr>
      <w:r>
        <w:rPr>
          <w:rFonts w:ascii="Arial" w:cs="Arial" w:eastAsia="Arial" w:hAnsi="Arial"/>
          <w:b/>
          <w:bCs/>
          <w:color w:val="6D28D9"/>
          <w:sz w:val="22"/>
          <w:szCs w:val="22"/>
        </w:rPr>
        <w:t xml:space="preserve">Stage 4: Expected Loss and Premium</w:t>
      </w:r>
    </w:p>
    <w:p>
      <w:pPr>
        <w:spacing w:before="120" w:after="120"/>
        <w:ind w:left="720"/>
      </w:pPr>
      <w:r>
        <w:rPr>
          <w:rFonts w:ascii="Courier New" w:cs="Courier New" w:eastAsia="Courier New" w:hAnsi="Courier New"/>
          <w:b/>
          <w:bCs/>
          <w:color w:val="92400E"/>
          <w:sz w:val="20"/>
          <w:szCs w:val="20"/>
        </w:rPr>
        <w:t xml:space="preserve">E[L] = λ × μ × M̂</w:t>
      </w:r>
    </w:p>
    <w:p>
      <w:pPr>
        <w:spacing w:before="120" w:after="120"/>
        <w:ind w:left="720"/>
      </w:pPr>
      <w:r>
        <w:rPr>
          <w:rFonts w:ascii="Courier New" w:cs="Courier New" w:eastAsia="Courier New" w:hAnsi="Courier New"/>
          <w:b/>
          <w:bCs/>
          <w:color w:val="92400E"/>
          <w:sz w:val="20"/>
          <w:szCs w:val="20"/>
        </w:rPr>
        <w:t xml:space="preserve">Premium = E[L] / target_loss_ratio × (1 + expense_load)</w:t>
      </w:r>
    </w:p>
    <w:p>
      <w:pPr>
        <w:spacing w:after="120"/>
        <w:jc w:val="left"/>
      </w:pPr>
      <w:r>
        <w:rPr>
          <w:rFonts w:ascii="Arial" w:cs="Arial" w:eastAsia="Arial" w:hAnsi="Arial"/>
          <w:b w:val="false"/>
          <w:bCs w:val="false"/>
          <w:i w:val="false"/>
          <w:iCs w:val="false"/>
          <w:color w:val="374151"/>
          <w:sz w:val="20"/>
          <w:szCs w:val="20"/>
        </w:rPr>
        <w:t xml:space="preserve">The default target_lr = 0.67. This value already bakes in the expense ratio and profit margin: Premium = E[L] / (1 − 0.28 − 0.05) = E[L] / 0.67. The separate expense_load slider (default 0.00) applies an additional multiplicative factor on top of this. When expense_load = 0, the 0.67 divisor is the complete pricing assumption.</w:t>
      </w:r>
    </w:p>
    <w:p>
      <w:pPr>
        <w:shd w:fill="EFF6FF" w:val="clear"/>
        <w:spacing w:before="80" w:after="120"/>
        <w:ind w:left="360"/>
      </w:pPr>
      <w:r>
        <w:rPr>
          <w:rFonts w:ascii="Arial" w:cs="Arial" w:eastAsia="Arial" w:hAnsi="Arial"/>
          <w:i/>
          <w:iCs/>
          <w:color w:val="1D4ED8"/>
          <w:sz w:val="18"/>
          <w:szCs w:val="18"/>
        </w:rPr>
        <w:t xml:space="preserve">Parameter effect: Changing target_lr changes premiums but NOT risk scores (scores depend on E[L], not premium). Changing interaction override sliders changes display labels but NOT E[L] or premium (those depend on the ensemble M̂, which is not overridable).</w:t>
      </w:r>
    </w:p>
    <w:p>
      <w:pPr>
        <w:pStyle w:val="Heading2"/>
        <w:spacing w:before="300" w:after="160"/>
      </w:pPr>
      <w:r>
        <w:rPr>
          <w:rFonts w:ascii="Arial" w:cs="Arial" w:eastAsia="Arial" w:hAnsi="Arial"/>
          <w:b/>
          <w:bCs/>
          <w:color w:val="1D4ED8"/>
          <w:sz w:val="26"/>
          <w:szCs w:val="26"/>
        </w:rPr>
        <w:t xml:space="preserve">4.2 Risk Scoring: Two Complementary Views</w:t>
      </w:r>
    </w:p>
    <w:p>
      <w:pPr>
        <w:pStyle w:val="Heading3"/>
        <w:spacing w:before="240" w:after="120"/>
      </w:pPr>
      <w:r>
        <w:rPr>
          <w:rFonts w:ascii="Arial" w:cs="Arial" w:eastAsia="Arial" w:hAnsi="Arial"/>
          <w:b/>
          <w:bCs/>
          <w:color w:val="6D28D9"/>
          <w:sz w:val="22"/>
          <w:szCs w:val="22"/>
        </w:rPr>
        <w:t xml:space="preserve">4.2.1 Score A1 — Pure Premium Score (Authoritative)</w:t>
      </w:r>
    </w:p>
    <w:p>
      <w:pPr>
        <w:spacing w:after="120"/>
        <w:jc w:val="left"/>
      </w:pPr>
      <w:r>
        <w:rPr>
          <w:rFonts w:ascii="Arial" w:cs="Arial" w:eastAsia="Arial" w:hAnsi="Arial"/>
          <w:b w:val="false"/>
          <w:bCs w:val="false"/>
          <w:i w:val="false"/>
          <w:iCs w:val="false"/>
          <w:color w:val="374151"/>
          <w:sz w:val="20"/>
          <w:szCs w:val="20"/>
        </w:rPr>
        <w:t xml:space="preserve">Score A1 is the headline score displayed in the gauge, used for band classification and underwriting triage:</w:t>
      </w:r>
    </w:p>
    <w:p>
      <w:pPr>
        <w:spacing w:before="120" w:after="120"/>
        <w:ind w:left="720"/>
      </w:pPr>
      <w:r>
        <w:rPr>
          <w:rFonts w:ascii="Courier New" w:cs="Courier New" w:eastAsia="Courier New" w:hAnsi="Courier New"/>
          <w:b/>
          <w:bCs/>
          <w:color w:val="92400E"/>
          <w:sz w:val="20"/>
          <w:szCs w:val="20"/>
        </w:rPr>
        <w:t xml:space="preserve">Score_A1 = 50 + 900 × (log(1+E[L]) − log(1+E[L]_min))</w:t>
      </w:r>
    </w:p>
    <w:p>
      <w:pPr>
        <w:spacing w:before="120" w:after="120"/>
        <w:ind w:left="720"/>
      </w:pPr>
      <w:r>
        <w:rPr>
          <w:rFonts w:ascii="Courier New" w:cs="Courier New" w:eastAsia="Courier New" w:hAnsi="Courier New"/>
          <w:b/>
          <w:bCs/>
          <w:color w:val="92400E"/>
          <w:sz w:val="20"/>
          <w:szCs w:val="20"/>
        </w:rPr>
        <w:t xml:space="preserve">                    / (log(1+E[L]_max) − log(1+E[L]_min))</w:t>
      </w:r>
    </w:p>
    <w:p>
      <w:pPr>
        <w:spacing w:before="120" w:after="120"/>
        <w:ind w:left="720"/>
      </w:pPr>
      <w:r>
        <w:rPr>
          <w:rFonts w:ascii="Courier New" w:cs="Courier New" w:eastAsia="Courier New" w:hAnsi="Courier New"/>
          <w:b/>
          <w:bCs/>
          <w:color w:val="92400E"/>
          <w:sz w:val="20"/>
          <w:szCs w:val="20"/>
        </w:rPr>
        <w:t xml:space="preserve">Clipped to [50, 950]</w:t>
      </w:r>
    </w:p>
    <w:p>
      <w:pPr>
        <w:spacing w:after="120"/>
        <w:jc w:val="left"/>
      </w:pPr>
      <w:r>
        <w:rPr>
          <w:rFonts w:ascii="Arial" w:cs="Arial" w:eastAsia="Arial" w:hAnsi="Arial"/>
          <w:b w:val="false"/>
          <w:bCs w:val="false"/>
          <w:i w:val="false"/>
          <w:iCs w:val="false"/>
          <w:color w:val="374151"/>
          <w:sz w:val="20"/>
          <w:szCs w:val="20"/>
        </w:rPr>
        <w:t xml:space="preserve">E[L]_min and E[L]_max are from the training set (stored in artifacts.pkl). The log(1+x) transform compresses the heavy right tail so extreme losses don’t overwhelm the 0–1000 scale, while preserving separation in the $1K–$10K range where most policies cluster. Score A1 drives all underwriting decisions.</w:t>
      </w:r>
    </w:p>
    <w:p>
      <w:pPr>
        <w:pStyle w:val="Heading3"/>
        <w:spacing w:before="240" w:after="120"/>
      </w:pPr>
      <w:r>
        <w:rPr>
          <w:rFonts w:ascii="Arial" w:cs="Arial" w:eastAsia="Arial" w:hAnsi="Arial"/>
          <w:b/>
          <w:bCs/>
          <w:color w:val="6D28D9"/>
          <w:sz w:val="22"/>
          <w:szCs w:val="22"/>
        </w:rPr>
        <w:t xml:space="preserve">4.2.2 Score A2 — Component Score (Diagnostic, Display-Only)</w:t>
      </w:r>
    </w:p>
    <w:p>
      <w:pPr>
        <w:spacing w:after="120"/>
        <w:jc w:val="left"/>
      </w:pPr>
      <w:r>
        <w:rPr>
          <w:rFonts w:ascii="Arial" w:cs="Arial" w:eastAsia="Arial" w:hAnsi="Arial"/>
          <w:b w:val="false"/>
          <w:bCs w:val="false"/>
          <w:i w:val="false"/>
          <w:iCs w:val="false"/>
          <w:color w:val="374151"/>
          <w:sz w:val="20"/>
          <w:szCs w:val="20"/>
        </w:rPr>
        <w:t xml:space="preserve">Score A2 answers: “Is this property risky because it claims often, or because it claims large?” It uses separate ML HistGradientBoosting models (not the Poisson/Gamma GLMs) for a display-only frequency-severity decomposition:</w:t>
      </w:r>
    </w:p>
    <w:p>
      <w:pPr>
        <w:spacing w:before="120" w:after="120"/>
        <w:ind w:left="720"/>
      </w:pPr>
      <w:r>
        <w:rPr>
          <w:rFonts w:ascii="Courier New" w:cs="Courier New" w:eastAsia="Courier New" w:hAnsi="Courier New"/>
          <w:b/>
          <w:bCs/>
          <w:color w:val="92400E"/>
          <w:sz w:val="20"/>
          <w:szCs w:val="20"/>
        </w:rPr>
        <w:t xml:space="preserve">F_score = min(500, λ_ML / λ_cap × 500)</w:t>
      </w:r>
    </w:p>
    <w:p>
      <w:pPr>
        <w:spacing w:before="120" w:after="120"/>
        <w:ind w:left="720"/>
      </w:pPr>
      <w:r>
        <w:rPr>
          <w:rFonts w:ascii="Courier New" w:cs="Courier New" w:eastAsia="Courier New" w:hAnsi="Courier New"/>
          <w:b/>
          <w:bCs/>
          <w:color w:val="92400E"/>
          <w:sz w:val="20"/>
          <w:szCs w:val="20"/>
        </w:rPr>
        <w:t xml:space="preserve">S_score = min(500, (μ_ML × M̂) / μ_cap × 500)</w:t>
      </w:r>
    </w:p>
    <w:p>
      <w:pPr>
        <w:spacing w:before="120" w:after="120"/>
        <w:ind w:left="720"/>
      </w:pPr>
      <w:r>
        <w:rPr>
          <w:rFonts w:ascii="Courier New" w:cs="Courier New" w:eastAsia="Courier New" w:hAnsi="Courier New"/>
          <w:b/>
          <w:bCs/>
          <w:color w:val="92400E"/>
          <w:sz w:val="20"/>
          <w:szCs w:val="20"/>
        </w:rPr>
        <w:t xml:space="preserve">Score_A2 = (w_freq×(F+1)^0.8 + w_sev×(S+1)^0.8)^(1/0.8) − 1</w:t>
      </w:r>
    </w:p>
    <w:p>
      <w:pPr>
        <w:spacing w:after="120"/>
        <w:jc w:val="left"/>
      </w:pPr>
      <w:r>
        <w:rPr>
          <w:rFonts w:ascii="Arial" w:cs="Arial" w:eastAsia="Arial" w:hAnsi="Arial"/>
          <w:b w:val="false"/>
          <w:bCs w:val="false"/>
          <w:i w:val="false"/>
          <w:iCs w:val="false"/>
          <w:color w:val="374151"/>
          <w:sz w:val="20"/>
          <w:szCs w:val="20"/>
        </w:rPr>
        <w:t xml:space="preserve">Design choices:</w:t>
      </w:r>
    </w:p>
    <w:p>
      <w:pPr>
        <w:pStyle w:val="ListParagraph"/>
        <w:numPr>
          <w:ilvl w:val="0"/>
          <w:numId w:val="2"/>
        </w:numPr>
        <w:spacing w:after="80"/>
      </w:pPr>
      <w:r>
        <w:rPr>
          <w:rFonts w:ascii="Arial" w:cs="Arial" w:eastAsia="Arial" w:hAnsi="Arial"/>
          <w:b/>
          <w:bCs/>
          <w:color w:val="374151"/>
          <w:sz w:val="20"/>
          <w:szCs w:val="20"/>
        </w:rPr>
        <w:t xml:space="preserve">Separate ML models: </w:t>
      </w:r>
      <w:r>
        <w:rPr>
          <w:rFonts w:ascii="Arial" w:cs="Arial" w:eastAsia="Arial" w:hAnsi="Arial"/>
          <w:color w:val="374151"/>
          <w:sz w:val="20"/>
          <w:szCs w:val="20"/>
        </w:rPr>
        <w:t xml:space="preserve">λ_ML and μ_ML come from HistGBM regressors trained on noisy ground-truth λ and μ. These provide richer decomposition for SHAP waterfalls but do not participate in pricing.</w:t>
      </w:r>
    </w:p>
    <w:p>
      <w:pPr>
        <w:pStyle w:val="ListParagraph"/>
        <w:numPr>
          <w:ilvl w:val="0"/>
          <w:numId w:val="2"/>
        </w:numPr>
        <w:spacing w:after="80"/>
      </w:pPr>
      <w:r>
        <w:rPr>
          <w:rFonts w:ascii="Arial" w:cs="Arial" w:eastAsia="Arial" w:hAnsi="Arial"/>
          <w:b/>
          <w:bCs/>
          <w:color w:val="374151"/>
          <w:sz w:val="20"/>
          <w:szCs w:val="20"/>
        </w:rPr>
        <w:t xml:space="preserve">Power-mean (exponent 0.8): </w:t>
      </w:r>
      <w:r>
        <w:rPr>
          <w:rFonts w:ascii="Arial" w:cs="Arial" w:eastAsia="Arial" w:hAnsi="Arial"/>
          <w:color w:val="374151"/>
          <w:sz w:val="20"/>
          <w:szCs w:val="20"/>
        </w:rPr>
        <w:t xml:space="preserve">Sub-additive combination. When both frequency and severity are high, the combined score is less than their sum — reflecting that worst-case loss is constrained by coverage limits.</w:t>
      </w:r>
    </w:p>
    <w:p>
      <w:pPr>
        <w:pStyle w:val="ListParagraph"/>
        <w:numPr>
          <w:ilvl w:val="0"/>
          <w:numId w:val="2"/>
        </w:numPr>
        <w:spacing w:after="80"/>
      </w:pPr>
      <w:r>
        <w:rPr>
          <w:rFonts w:ascii="Arial" w:cs="Arial" w:eastAsia="Arial" w:hAnsi="Arial"/>
          <w:b/>
          <w:bCs/>
          <w:color w:val="374151"/>
          <w:sz w:val="20"/>
          <w:szCs w:val="20"/>
        </w:rPr>
        <w:t xml:space="preserve">Weights (w_freq=0.45, w_sev=0.55): </w:t>
      </w:r>
      <w:r>
        <w:rPr>
          <w:rFonts w:ascii="Arial" w:cs="Arial" w:eastAsia="Arial" w:hAnsi="Arial"/>
          <w:color w:val="374151"/>
          <w:sz w:val="20"/>
          <w:szCs w:val="20"/>
        </w:rPr>
        <w:t xml:space="preserve">Severity weighted higher because homeowners losses are severity-dominated. Adjustable via sidebar.</w:t>
      </w:r>
    </w:p>
    <w:p>
      <w:pPr>
        <w:pStyle w:val="ListParagraph"/>
        <w:numPr>
          <w:ilvl w:val="0"/>
          <w:numId w:val="2"/>
        </w:numPr>
        <w:spacing w:after="80"/>
      </w:pPr>
      <w:r>
        <w:rPr>
          <w:rFonts w:ascii="Arial" w:cs="Arial" w:eastAsia="Arial" w:hAnsi="Arial"/>
          <w:b/>
          <w:bCs/>
          <w:color w:val="374151"/>
          <w:sz w:val="20"/>
          <w:szCs w:val="20"/>
        </w:rPr>
        <w:t xml:space="preserve">M̂ in S_score only: </w:t>
      </w:r>
      <w:r>
        <w:rPr>
          <w:rFonts w:ascii="Arial" w:cs="Arial" w:eastAsia="Arial" w:hAnsi="Arial"/>
          <w:color w:val="374151"/>
          <w:sz w:val="20"/>
          <w:szCs w:val="20"/>
        </w:rPr>
        <w:t xml:space="preserve">S_score = (μ_ML × M̂) / cap. Compound interactions primarily amplify loss magnitude, not frequency.</w:t>
      </w:r>
    </w:p>
    <w:p>
      <w:pPr>
        <w:shd w:fill="FFFBEB" w:val="clear"/>
        <w:spacing w:before="80" w:after="120"/>
        <w:ind w:left="360"/>
      </w:pPr>
      <w:r>
        <w:rPr>
          <w:rFonts w:ascii="Arial" w:cs="Arial" w:eastAsia="Arial" w:hAnsi="Arial"/>
          <w:i/>
          <w:iCs/>
          <w:color w:val="B45309"/>
          <w:sz w:val="18"/>
          <w:szCs w:val="18"/>
        </w:rPr>
        <w:t xml:space="preserve">Score A2 does not drive underwriting triage or premium. It is a diagnostic showing whether risk is frequency-driven or severity-driven, enabling more targeted underwriting actions.</w:t>
      </w:r>
    </w:p>
    <w:p>
      <w:pPr>
        <w:pStyle w:val="Heading2"/>
        <w:spacing w:before="300" w:after="160"/>
      </w:pPr>
      <w:r>
        <w:rPr>
          <w:rFonts w:ascii="Arial" w:cs="Arial" w:eastAsia="Arial" w:hAnsi="Arial"/>
          <w:b/>
          <w:bCs/>
          <w:color w:val="1D4ED8"/>
          <w:sz w:val="26"/>
          <w:szCs w:val="26"/>
        </w:rPr>
        <w:t xml:space="preserve">4.3 Risk Band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360"/>
        <w:gridCol w:w="3000"/>
      </w:tblGrid>
      <w:tr>
        <w:tc>
          <w:tcPr>
            <w:tcW w:type="dxa" w:w="15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Band</w:t>
            </w:r>
          </w:p>
        </w:tc>
        <w:tc>
          <w:tcPr>
            <w:tcW w:type="dxa" w:w="15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33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UW Action</w:t>
            </w:r>
          </w:p>
        </w:tc>
        <w:tc>
          <w:tcPr>
            <w:tcW w:type="dxa" w:w="3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Volume</w:t>
            </w:r>
          </w:p>
        </w:tc>
      </w:tr>
      <w:tr>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Very Low</w:t>
            </w:r>
          </w:p>
        </w:tc>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0–200</w:t>
            </w:r>
          </w:p>
        </w:tc>
        <w:tc>
          <w:tcPr>
            <w:tcW w:type="dxa" w:w="3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Auto-bind at standard rates</w:t>
            </w:r>
          </w:p>
        </w:tc>
        <w:tc>
          <w:tcPr>
            <w:tcW w:type="dxa" w:w="3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~5%</w:t>
            </w:r>
          </w:p>
        </w:tc>
      </w:tr>
      <w:tr>
        <w:tc>
          <w:tcPr>
            <w:tcW w:type="dxa" w:w="1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Low</w:t>
            </w:r>
          </w:p>
        </w:tc>
        <w:tc>
          <w:tcPr>
            <w:tcW w:type="dxa" w:w="1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200–400</w:t>
            </w:r>
          </w:p>
        </w:tc>
        <w:tc>
          <w:tcPr>
            <w:tcW w:type="dxa" w:w="3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Auto-bind; preferred eligible</w:t>
            </w:r>
          </w:p>
        </w:tc>
        <w:tc>
          <w:tcPr>
            <w:tcW w:type="dxa" w:w="3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~25%</w:t>
            </w:r>
          </w:p>
        </w:tc>
      </w:tr>
      <w:tr>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Moderate</w:t>
            </w:r>
          </w:p>
        </w:tc>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400–600</w:t>
            </w:r>
          </w:p>
        </w:tc>
        <w:tc>
          <w:tcPr>
            <w:tcW w:type="dxa" w:w="3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Manual review</w:t>
            </w:r>
          </w:p>
        </w:tc>
        <w:tc>
          <w:tcPr>
            <w:tcW w:type="dxa" w:w="3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~40%</w:t>
            </w:r>
          </w:p>
        </w:tc>
      </w:tr>
      <w:tr>
        <w:tc>
          <w:tcPr>
            <w:tcW w:type="dxa" w:w="1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High</w:t>
            </w:r>
          </w:p>
        </w:tc>
        <w:tc>
          <w:tcPr>
            <w:tcW w:type="dxa" w:w="15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600–800</w:t>
            </w:r>
          </w:p>
        </w:tc>
        <w:tc>
          <w:tcPr>
            <w:tcW w:type="dxa" w:w="3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Refer to UW; surcharge</w:t>
            </w:r>
          </w:p>
        </w:tc>
        <w:tc>
          <w:tcPr>
            <w:tcW w:type="dxa" w:w="3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~25%</w:t>
            </w:r>
          </w:p>
        </w:tc>
      </w:tr>
      <w:tr>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Very High</w:t>
            </w:r>
          </w:p>
        </w:tc>
        <w:tc>
          <w:tcPr>
            <w:tcW w:type="dxa" w:w="15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800–1000</w:t>
            </w:r>
          </w:p>
        </w:tc>
        <w:tc>
          <w:tcPr>
            <w:tcW w:type="dxa" w:w="3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Auto-decline or Chief UW override</w:t>
            </w:r>
          </w:p>
        </w:tc>
        <w:tc>
          <w:tcPr>
            <w:tcW w:type="dxa" w:w="3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~5%</w:t>
            </w:r>
          </w:p>
        </w:tc>
      </w:tr>
    </w:tbl>
    <w:p>
      <w:pPr>
        <w:spacing w:after="120"/>
        <w:jc w:val="left"/>
      </w:pPr>
      <w:r>
        <w:rPr>
          <w:rFonts w:ascii="Arial" w:cs="Arial" w:eastAsia="Arial" w:hAnsi="Arial"/>
          <w:b w:val="false"/>
          <w:bCs w:val="false"/>
          <w:i w:val="false"/>
          <w:iCs w:val="false"/>
          <w:color w:val="374151"/>
          <w:sz w:val="20"/>
          <w:szCs w:val="20"/>
        </w:rPr>
        <w:t xml:space="preserve"/>
      </w:r>
    </w:p>
    <w:p>
      <w:pPr>
        <w:pStyle w:val="Heading2"/>
        <w:spacing w:before="300" w:after="160"/>
      </w:pPr>
      <w:r>
        <w:rPr>
          <w:rFonts w:ascii="Arial" w:cs="Arial" w:eastAsia="Arial" w:hAnsi="Arial"/>
          <w:b/>
          <w:bCs/>
          <w:color w:val="1D4ED8"/>
          <w:sz w:val="26"/>
          <w:szCs w:val="26"/>
        </w:rPr>
        <w:t xml:space="preserve">4.4 Interaction Term Mathematics</w:t>
      </w:r>
    </w:p>
    <w:p>
      <w:pPr>
        <w:spacing w:before="120" w:after="120"/>
        <w:ind w:left="720"/>
      </w:pPr>
      <w:r>
        <w:rPr>
          <w:rFonts w:ascii="Courier New" w:cs="Courier New" w:eastAsia="Courier New" w:hAnsi="Courier New"/>
          <w:b/>
          <w:bCs/>
          <w:color w:val="92400E"/>
          <w:sz w:val="20"/>
          <w:szCs w:val="20"/>
        </w:rPr>
        <w:t xml:space="preserve">η = β₀ + β₁·x₁ + β₂·x₂ + β₁₂·(x₁×x₂)</w:t>
      </w:r>
    </w:p>
    <w:p>
      <w:pPr>
        <w:spacing w:before="120" w:after="120"/>
        <w:ind w:left="720"/>
      </w:pPr>
      <w:r>
        <w:rPr>
          <w:rFonts w:ascii="Courier New" w:cs="Courier New" w:eastAsia="Courier New" w:hAnsi="Courier New"/>
          <w:b/>
          <w:bCs/>
          <w:color w:val="92400E"/>
          <w:sz w:val="20"/>
          <w:szCs w:val="20"/>
        </w:rPr>
        <w:t xml:space="preserve">μ = exp(β₀)×exp(β₁·x₁)×exp(β₂·x₂)×exp(β₁₂·x₁·x₂)</w:t>
      </w:r>
    </w:p>
    <w:p>
      <w:pPr>
        <w:spacing w:after="120"/>
        <w:jc w:val="left"/>
      </w:pPr>
      <w:r>
        <w:rPr>
          <w:rFonts w:ascii="Arial" w:cs="Arial" w:eastAsia="Arial" w:hAnsi="Arial"/>
          <w:b w:val="false"/>
          <w:bCs w:val="false"/>
          <w:i w:val="false"/>
          <w:iCs w:val="false"/>
          <w:color w:val="374151"/>
          <w:sz w:val="20"/>
          <w:szCs w:val="20"/>
        </w:rPr>
        <w:t xml:space="preserve">Worked example (Roof × Wildfire): β_roof=0.20, β_wf=0.30, β_int=0.15.</w:t>
      </w:r>
    </w:p>
    <w:p>
      <w:pPr>
        <w:pStyle w:val="ListParagraph"/>
        <w:numPr>
          <w:ilvl w:val="0"/>
          <w:numId w:val="2"/>
        </w:numPr>
        <w:spacing w:after="80"/>
      </w:pPr>
      <w:r>
        <w:rPr>
          <w:rFonts w:ascii="Arial" w:cs="Arial" w:eastAsia="Arial" w:hAnsi="Arial"/>
          <w:color w:val="374151"/>
          <w:sz w:val="20"/>
          <w:szCs w:val="20"/>
        </w:rPr>
        <w:t xml:space="preserve">Additive-only: exp(0.50) ≈ 1.65×</w:t>
      </w:r>
    </w:p>
    <w:p>
      <w:pPr>
        <w:pStyle w:val="ListParagraph"/>
        <w:numPr>
          <w:ilvl w:val="0"/>
          <w:numId w:val="2"/>
        </w:numPr>
        <w:spacing w:after="80"/>
      </w:pPr>
      <w:r>
        <w:rPr>
          <w:rFonts w:ascii="Arial" w:cs="Arial" w:eastAsia="Arial" w:hAnsi="Arial"/>
          <w:color w:val="374151"/>
          <w:sz w:val="20"/>
          <w:szCs w:val="20"/>
        </w:rPr>
        <w:t xml:space="preserve">With interaction: exp(0.65) ≈ 1.92×</w:t>
      </w:r>
    </w:p>
    <w:p>
      <w:pPr>
        <w:pStyle w:val="ListParagraph"/>
        <w:numPr>
          <w:ilvl w:val="0"/>
          <w:numId w:val="2"/>
        </w:numPr>
        <w:spacing w:after="80"/>
      </w:pPr>
      <w:r>
        <w:rPr>
          <w:rFonts w:ascii="Arial" w:cs="Arial" w:eastAsia="Arial" w:hAnsi="Arial"/>
          <w:color w:val="374151"/>
          <w:sz w:val="20"/>
          <w:szCs w:val="20"/>
        </w:rPr>
        <w:t xml:space="preserve">Gap: 0.27× (27 pp of unpriced risk). On a $250M book = millions mispriced.</w:t>
      </w:r>
    </w:p>
    <w:p>
      <w:pPr>
        <w:pStyle w:val="Heading2"/>
        <w:spacing w:before="300" w:after="160"/>
      </w:pPr>
      <w:r>
        <w:rPr>
          <w:rFonts w:ascii="Arial" w:cs="Arial" w:eastAsia="Arial" w:hAnsi="Arial"/>
          <w:b/>
          <w:bCs/>
          <w:color w:val="1D4ED8"/>
          <w:sz w:val="26"/>
          <w:szCs w:val="26"/>
        </w:rPr>
        <w:t xml:space="preserve">4.5 Statistical Validation</w:t>
      </w:r>
    </w:p>
    <w:p>
      <w:pPr>
        <w:pStyle w:val="ListParagraph"/>
        <w:numPr>
          <w:ilvl w:val="0"/>
          <w:numId w:val="2"/>
        </w:numPr>
        <w:spacing w:after="80"/>
      </w:pPr>
      <w:r>
        <w:rPr>
          <w:rFonts w:ascii="Arial" w:cs="Arial" w:eastAsia="Arial" w:hAnsi="Arial"/>
          <w:b/>
          <w:bCs/>
          <w:color w:val="374151"/>
          <w:sz w:val="20"/>
          <w:szCs w:val="20"/>
        </w:rPr>
        <w:t xml:space="preserve">Likelihood Ratio Test: </w:t>
      </w:r>
      <w:r>
        <w:rPr>
          <w:rFonts w:ascii="Arial" w:cs="Arial" w:eastAsia="Arial" w:hAnsi="Arial"/>
          <w:color w:val="374151"/>
          <w:sz w:val="20"/>
          <w:szCs w:val="20"/>
        </w:rPr>
        <w:t xml:space="preserve">Λ = 2[ℓ(full)−ℓ(reduced)] ~ χ²(k). Actuarial standard: p &lt; 0.01.</w:t>
      </w:r>
    </w:p>
    <w:p>
      <w:pPr>
        <w:pStyle w:val="ListParagraph"/>
        <w:numPr>
          <w:ilvl w:val="0"/>
          <w:numId w:val="2"/>
        </w:numPr>
        <w:spacing w:after="80"/>
      </w:pPr>
      <w:r>
        <w:rPr>
          <w:rFonts w:ascii="Arial" w:cs="Arial" w:eastAsia="Arial" w:hAnsi="Arial"/>
          <w:b/>
          <w:bCs/>
          <w:color w:val="374151"/>
          <w:sz w:val="20"/>
          <w:szCs w:val="20"/>
        </w:rPr>
        <w:t xml:space="preserve">Deviance reduction: </w:t>
      </w:r>
      <w:r>
        <w:rPr>
          <w:rFonts w:ascii="Arial" w:cs="Arial" w:eastAsia="Arial" w:hAnsi="Arial"/>
          <w:color w:val="374151"/>
          <w:sz w:val="20"/>
          <w:szCs w:val="20"/>
        </w:rPr>
        <w:t xml:space="preserve">&gt;1–2% of null deviance per interaction group.</w:t>
      </w:r>
    </w:p>
    <w:p>
      <w:pPr>
        <w:pStyle w:val="ListParagraph"/>
        <w:numPr>
          <w:ilvl w:val="0"/>
          <w:numId w:val="2"/>
        </w:numPr>
        <w:spacing w:after="80"/>
      </w:pPr>
      <w:r>
        <w:rPr>
          <w:rFonts w:ascii="Arial" w:cs="Arial" w:eastAsia="Arial" w:hAnsi="Arial"/>
          <w:b/>
          <w:bCs/>
          <w:color w:val="374151"/>
          <w:sz w:val="20"/>
          <w:szCs w:val="20"/>
        </w:rPr>
        <w:t xml:space="preserve">Cross-validation: </w:t>
      </w:r>
      <w:r>
        <w:rPr>
          <w:rFonts w:ascii="Arial" w:cs="Arial" w:eastAsia="Arial" w:hAnsi="Arial"/>
          <w:color w:val="374151"/>
          <w:sz w:val="20"/>
          <w:szCs w:val="20"/>
        </w:rPr>
        <w:t xml:space="preserve">5-fold CV. AIC Δ &gt; 10 = strong evidence.</w:t>
      </w:r>
    </w:p>
    <w:p>
      <w:pPr>
        <w:pStyle w:val="ListParagraph"/>
        <w:numPr>
          <w:ilvl w:val="0"/>
          <w:numId w:val="2"/>
        </w:numPr>
        <w:spacing w:after="80"/>
      </w:pPr>
      <w:r>
        <w:rPr>
          <w:rFonts w:ascii="Arial" w:cs="Arial" w:eastAsia="Arial" w:hAnsi="Arial"/>
          <w:b/>
          <w:bCs/>
          <w:color w:val="374151"/>
          <w:sz w:val="20"/>
          <w:szCs w:val="20"/>
        </w:rPr>
        <w:t xml:space="preserve">Oracle correlation: </w:t>
      </w:r>
      <w:r>
        <w:rPr>
          <w:rFonts w:ascii="Arial" w:cs="Arial" w:eastAsia="Arial" w:hAnsi="Arial"/>
          <w:color w:val="374151"/>
          <w:sz w:val="20"/>
          <w:szCs w:val="20"/>
        </w:rPr>
        <w:t xml:space="preserve">M̂ vs ground-truth M_true ≥ 0.70 on held-out test set.</w:t>
      </w:r>
    </w:p>
    <w:p>
      <w:r>
        <w:br w:type="page"/>
      </w:r>
    </w:p>
    <w:p>
      <w:pPr>
        <w:pStyle w:val="Heading1"/>
        <w:spacing w:before="360" w:after="200"/>
      </w:pPr>
      <w:r>
        <w:rPr>
          <w:rFonts w:ascii="Arial" w:cs="Arial" w:eastAsia="Arial" w:hAnsi="Arial"/>
          <w:b/>
          <w:bCs/>
          <w:color w:val="0F172A"/>
          <w:sz w:val="32"/>
          <w:szCs w:val="32"/>
        </w:rPr>
        <w:t xml:space="preserve">5. Application Walkthrough: Tab-by-Tab Reference</w:t>
      </w:r>
    </w:p>
    <w:p>
      <w:pPr>
        <w:pStyle w:val="Heading2"/>
        <w:spacing w:before="300" w:after="160"/>
      </w:pPr>
      <w:r>
        <w:rPr>
          <w:rFonts w:ascii="Arial" w:cs="Arial" w:eastAsia="Arial" w:hAnsi="Arial"/>
          <w:b/>
          <w:bCs/>
          <w:color w:val="1D4ED8"/>
          <w:sz w:val="26"/>
          <w:szCs w:val="26"/>
        </w:rPr>
        <w:t xml:space="preserve">5.1 Sidebar: Configuration Panel</w:t>
      </w:r>
    </w:p>
    <w:p>
      <w:pPr>
        <w:spacing w:after="120"/>
        <w:jc w:val="left"/>
      </w:pPr>
      <w:r>
        <w:rPr>
          <w:rFonts w:ascii="Arial" w:cs="Arial" w:eastAsia="Arial" w:hAnsi="Arial"/>
          <w:b w:val="false"/>
          <w:bCs w:val="false"/>
          <w:i w:val="false"/>
          <w:iCs w:val="false"/>
          <w:color w:val="374151"/>
          <w:sz w:val="20"/>
          <w:szCs w:val="20"/>
        </w:rPr>
        <w:t xml:space="preserve">Understanding which parameters affect which outputs is critical for demo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800"/>
        <w:gridCol w:w="2060"/>
        <w:gridCol w:w="2200"/>
      </w:tblGrid>
      <w:tr>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Parameter</w:t>
            </w:r>
          </w:p>
        </w:tc>
        <w:tc>
          <w:tcPr>
            <w:tcW w:type="dxa" w:w="11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Default</w:t>
            </w:r>
          </w:p>
        </w:tc>
        <w:tc>
          <w:tcPr>
            <w:tcW w:type="dxa" w:w="18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Affects Scores?</w:t>
            </w:r>
          </w:p>
        </w:tc>
        <w:tc>
          <w:tcPr>
            <w:tcW w:type="dxa" w:w="20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Affects Premium?</w:t>
            </w:r>
          </w:p>
        </w:tc>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Affects M̂?</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Target Loss Ratio</w:t>
            </w:r>
          </w:p>
        </w:tc>
        <w:tc>
          <w:tcPr>
            <w:tcW w:type="dxa" w:w="11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0.67</w:t>
            </w:r>
          </w:p>
        </w:tc>
        <w:tc>
          <w:tcPr>
            <w:tcW w:type="dxa" w:w="1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0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Yes (÷ divisor)</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Expense Load</w:t>
            </w:r>
          </w:p>
        </w:tc>
        <w:tc>
          <w:tcPr>
            <w:tcW w:type="dxa" w:w="11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0.00</w:t>
            </w:r>
          </w:p>
        </w:tc>
        <w:tc>
          <w:tcPr>
            <w:tcW w:type="dxa" w:w="1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0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Yes (× factor)</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Frequency Weight</w:t>
            </w:r>
          </w:p>
        </w:tc>
        <w:tc>
          <w:tcPr>
            <w:tcW w:type="dxa" w:w="11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0.45</w:t>
            </w:r>
          </w:p>
        </w:tc>
        <w:tc>
          <w:tcPr>
            <w:tcW w:type="dxa" w:w="1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Score A2 only</w:t>
            </w:r>
          </w:p>
        </w:tc>
        <w:tc>
          <w:tcPr>
            <w:tcW w:type="dxa" w:w="20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Lambda Cap / Sev Cap</w:t>
            </w:r>
          </w:p>
        </w:tc>
        <w:tc>
          <w:tcPr>
            <w:tcW w:type="dxa" w:w="11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0.30 / $600K</w:t>
            </w:r>
          </w:p>
        </w:tc>
        <w:tc>
          <w:tcPr>
            <w:tcW w:type="dxa" w:w="1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Score A2 only</w:t>
            </w:r>
          </w:p>
        </w:tc>
        <w:tc>
          <w:tcPr>
            <w:tcW w:type="dxa" w:w="20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Interaction Overrides</w:t>
            </w:r>
          </w:p>
        </w:tc>
        <w:tc>
          <w:tcPr>
            <w:tcW w:type="dxa" w:w="11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Various</w:t>
            </w:r>
          </w:p>
        </w:tc>
        <w:tc>
          <w:tcPr>
            <w:tcW w:type="dxa" w:w="1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0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No (display labels only)</w:t>
            </w:r>
          </w:p>
        </w:tc>
      </w:tr>
    </w:tbl>
    <w:p>
      <w:pPr>
        <w:spacing w:after="120"/>
        <w:jc w:val="left"/>
      </w:pPr>
      <w:r>
        <w:rPr>
          <w:rFonts w:ascii="Arial" w:cs="Arial" w:eastAsia="Arial" w:hAnsi="Arial"/>
          <w:b w:val="false"/>
          <w:bCs w:val="false"/>
          <w:i w:val="false"/>
          <w:iCs w:val="false"/>
          <w:color w:val="374151"/>
          <w:sz w:val="20"/>
          <w:szCs w:val="20"/>
        </w:rPr>
        <w:t xml:space="preserve"/>
      </w:r>
    </w:p>
    <w:p>
      <w:pPr>
        <w:spacing w:after="120"/>
        <w:jc w:val="left"/>
      </w:pPr>
      <w:r>
        <w:rPr>
          <w:rFonts w:ascii="Arial" w:cs="Arial" w:eastAsia="Arial" w:hAnsi="Arial"/>
          <w:b w:val="false"/>
          <w:bCs w:val="false"/>
          <w:i w:val="false"/>
          <w:iCs w:val="false"/>
          <w:color w:val="374151"/>
          <w:sz w:val="20"/>
          <w:szCs w:val="20"/>
        </w:rPr>
        <w:t xml:space="preserve">Setting any interaction override to ×1.00 hides that interaction from the narrative — useful for showing “what if we didn’t recognise this effect?”</w:t>
      </w:r>
    </w:p>
    <w:p>
      <w:pPr>
        <w:pStyle w:val="Heading3"/>
        <w:spacing w:before="240" w:after="120"/>
      </w:pPr>
      <w:r>
        <w:rPr>
          <w:rFonts w:ascii="Arial" w:cs="Arial" w:eastAsia="Arial" w:hAnsi="Arial"/>
          <w:b/>
          <w:bCs/>
          <w:color w:val="6D28D9"/>
          <w:sz w:val="22"/>
          <w:szCs w:val="22"/>
        </w:rPr>
        <w:t xml:space="preserve">Credit Score Suppression</w:t>
      </w:r>
    </w:p>
    <w:p>
      <w:pPr>
        <w:spacing w:after="120"/>
        <w:jc w:val="left"/>
      </w:pPr>
      <w:r>
        <w:rPr>
          <w:rFonts w:ascii="Arial" w:cs="Arial" w:eastAsia="Arial" w:hAnsi="Arial"/>
          <w:b w:val="false"/>
          <w:bCs w:val="false"/>
          <w:i w:val="false"/>
          <w:iCs w:val="false"/>
          <w:color w:val="374151"/>
          <w:sz w:val="20"/>
          <w:szCs w:val="20"/>
        </w:rPr>
        <w:t xml:space="preserve">When State = CA, MA, or HI, the credit score input is disabled and replaced with a regulatory notice. The model uses a neutral imputed value (720). This reflects real regulations: CA Prop 103, MA regulation, HI statute. The credit_restricted flag = 1 propagates through the feature vector.</w:t>
      </w:r>
    </w:p>
    <w:p>
      <w:pPr>
        <w:pStyle w:val="Heading2"/>
        <w:spacing w:before="300" w:after="160"/>
      </w:pPr>
      <w:r>
        <w:rPr>
          <w:rFonts w:ascii="Arial" w:cs="Arial" w:eastAsia="Arial" w:hAnsi="Arial"/>
          <w:b/>
          <w:bCs/>
          <w:color w:val="1D4ED8"/>
          <w:sz w:val="26"/>
          <w:szCs w:val="26"/>
        </w:rPr>
        <w:t xml:space="preserve">5.2 Header Banner</w:t>
      </w:r>
    </w:p>
    <w:p>
      <w:pPr>
        <w:spacing w:after="120"/>
        <w:jc w:val="left"/>
      </w:pPr>
      <w:r>
        <w:rPr>
          <w:rFonts w:ascii="Arial" w:cs="Arial" w:eastAsia="Arial" w:hAnsi="Arial"/>
          <w:b w:val="false"/>
          <w:bCs w:val="false"/>
          <w:i w:val="false"/>
          <w:iCs w:val="false"/>
          <w:color w:val="374151"/>
          <w:sz w:val="20"/>
          <w:szCs w:val="20"/>
        </w:rPr>
        <w:t xml:space="preserve">Four KPI badges from artifacts.pkl: Poisson × Gamma GLM + M̂ architecture label, three-track R², reclassification %, version.</w:t>
      </w:r>
    </w:p>
    <w:p>
      <w:r>
        <w:br w:type="page"/>
      </w:r>
    </w:p>
    <w:p>
      <w:pPr>
        <w:pStyle w:val="Heading2"/>
        <w:spacing w:before="300" w:after="160"/>
      </w:pPr>
      <w:r>
        <w:rPr>
          <w:rFonts w:ascii="Arial" w:cs="Arial" w:eastAsia="Arial" w:hAnsi="Arial"/>
          <w:b/>
          <w:bCs/>
          <w:color w:val="1D4ED8"/>
          <w:sz w:val="26"/>
          <w:szCs w:val="26"/>
        </w:rPr>
        <w:t xml:space="preserve">5.3 Tab 1: Risk Scoring Engine</w:t>
      </w:r>
    </w:p>
    <w:p>
      <w:pPr>
        <w:pStyle w:val="Heading3"/>
        <w:spacing w:before="240" w:after="120"/>
      </w:pPr>
      <w:r>
        <w:rPr>
          <w:rFonts w:ascii="Arial" w:cs="Arial" w:eastAsia="Arial" w:hAnsi="Arial"/>
          <w:b/>
          <w:bCs/>
          <w:color w:val="6D28D9"/>
          <w:sz w:val="22"/>
          <w:szCs w:val="22"/>
        </w:rPr>
        <w:t xml:space="preserve">Objective</w:t>
      </w:r>
    </w:p>
    <w:p>
      <w:pPr>
        <w:spacing w:after="120"/>
        <w:jc w:val="left"/>
      </w:pPr>
      <w:r>
        <w:rPr>
          <w:rFonts w:ascii="Arial" w:cs="Arial" w:eastAsia="Arial" w:hAnsi="Arial"/>
          <w:b w:val="false"/>
          <w:bCs w:val="false"/>
          <w:i w:val="false"/>
          <w:iCs w:val="false"/>
          <w:color w:val="374151"/>
          <w:sz w:val="20"/>
          <w:szCs w:val="20"/>
        </w:rPr>
        <w:t xml:space="preserve">Demonstrate the complete end-to-end pipeline: inputs → λ → μ → M̂ → E[L] → score → premium. Answers: “What would this property score, and why?”</w:t>
      </w:r>
    </w:p>
    <w:p>
      <w:pPr>
        <w:spacing w:before="200" w:after="100"/>
      </w:pPr>
      <w:r>
        <w:rPr>
          <w:rFonts w:ascii="Arial" w:cs="Arial" w:eastAsia="Arial" w:hAnsi="Arial"/>
          <w:b/>
          <w:bCs/>
          <w:color w:val="B45309"/>
          <w:sz w:val="20"/>
          <w:szCs w:val="20"/>
        </w:rPr>
        <w:t xml:space="preserve">Demo Property Loader</w:t>
      </w:r>
    </w:p>
    <w:p>
      <w:pPr>
        <w:spacing w:after="120"/>
        <w:jc w:val="left"/>
      </w:pPr>
      <w:r>
        <w:rPr>
          <w:rFonts w:ascii="Arial" w:cs="Arial" w:eastAsia="Arial" w:hAnsi="Arial"/>
          <w:b w:val="false"/>
          <w:bCs w:val="false"/>
          <w:i w:val="false"/>
          <w:iCs w:val="false"/>
          <w:color w:val="374151"/>
          <w:sz w:val="20"/>
          <w:szCs w:val="20"/>
        </w:rPr>
        <w:t xml:space="preserve">10 pre-configured properties. Key archetypes:</w:t>
      </w:r>
    </w:p>
    <w:p>
      <w:pPr>
        <w:pStyle w:val="ListParagraph"/>
        <w:numPr>
          <w:ilvl w:val="0"/>
          <w:numId w:val="2"/>
        </w:numPr>
        <w:spacing w:after="80"/>
      </w:pPr>
      <w:r>
        <w:rPr>
          <w:rFonts w:ascii="Arial" w:cs="Arial" w:eastAsia="Arial" w:hAnsi="Arial"/>
          <w:b/>
          <w:bCs/>
          <w:color w:val="374151"/>
          <w:sz w:val="20"/>
          <w:szCs w:val="20"/>
        </w:rPr>
        <w:t xml:space="preserve">Paradise CA: </w:t>
      </w:r>
      <w:r>
        <w:rPr>
          <w:rFonts w:ascii="Arial" w:cs="Arial" w:eastAsia="Arial" w:hAnsi="Arial"/>
          <w:color w:val="374151"/>
          <w:sz w:val="20"/>
          <w:szCs w:val="20"/>
        </w:rPr>
        <w:t xml:space="preserve">Wood Shake × High Wildfire — M̂ ≈ ×3.50. The signature demo moment.</w:t>
      </w:r>
    </w:p>
    <w:p>
      <w:pPr>
        <w:pStyle w:val="ListParagraph"/>
        <w:numPr>
          <w:ilvl w:val="0"/>
          <w:numId w:val="2"/>
        </w:numPr>
        <w:spacing w:after="80"/>
      </w:pPr>
      <w:r>
        <w:rPr>
          <w:rFonts w:ascii="Arial" w:cs="Arial" w:eastAsia="Arial" w:hAnsi="Arial"/>
          <w:b/>
          <w:bCs/>
          <w:color w:val="374151"/>
          <w:sz w:val="20"/>
          <w:szCs w:val="20"/>
        </w:rPr>
        <w:t xml:space="preserve">Miami FL: </w:t>
      </w:r>
      <w:r>
        <w:rPr>
          <w:rFonts w:ascii="Arial" w:cs="Arial" w:eastAsia="Arial" w:hAnsi="Arial"/>
          <w:color w:val="374151"/>
          <w:sz w:val="20"/>
          <w:szCs w:val="20"/>
        </w:rPr>
        <w:t xml:space="preserve">High Flood × &lt;5mi coast — ×2.20 surge multiplier.</w:t>
      </w:r>
    </w:p>
    <w:p>
      <w:pPr>
        <w:pStyle w:val="ListParagraph"/>
        <w:numPr>
          <w:ilvl w:val="0"/>
          <w:numId w:val="2"/>
        </w:numPr>
        <w:spacing w:after="80"/>
      </w:pPr>
      <w:r>
        <w:rPr>
          <w:rFonts w:ascii="Arial" w:cs="Arial" w:eastAsia="Arial" w:hAnsi="Arial"/>
          <w:b/>
          <w:bCs/>
          <w:color w:val="374151"/>
          <w:sz w:val="20"/>
          <w:szCs w:val="20"/>
        </w:rPr>
        <w:t xml:space="preserve">Boulder CO: </w:t>
      </w:r>
      <w:r>
        <w:rPr>
          <w:rFonts w:ascii="Arial" w:cs="Arial" w:eastAsia="Arial" w:hAnsi="Arial"/>
          <w:color w:val="374151"/>
          <w:sz w:val="20"/>
          <w:szCs w:val="20"/>
        </w:rPr>
        <w:t xml:space="preserve">Metal roof + low risk — M̂ near 1.0 (clean profile).</w:t>
      </w:r>
    </w:p>
    <w:p>
      <w:pPr>
        <w:spacing w:before="200" w:after="100"/>
      </w:pPr>
      <w:r>
        <w:rPr>
          <w:rFonts w:ascii="Arial" w:cs="Arial" w:eastAsia="Arial" w:hAnsi="Arial"/>
          <w:b/>
          <w:bCs/>
          <w:color w:val="B45309"/>
          <w:sz w:val="20"/>
          <w:szCs w:val="20"/>
        </w:rPr>
        <w:t xml:space="preserve">Input Form</w:t>
      </w:r>
    </w:p>
    <w:p>
      <w:pPr>
        <w:spacing w:after="120"/>
      </w:pPr>
      <w:r>
        <w:rPr>
          <w:rFonts w:ascii="Arial" w:cs="Arial" w:eastAsia="Arial" w:hAnsi="Arial"/>
          <w:b/>
          <w:bCs/>
          <w:i w:val="false"/>
          <w:iCs w:val="false"/>
          <w:color w:val="1D4ED8"/>
          <w:sz w:val="20"/>
          <w:szCs w:val="20"/>
        </w:rPr>
        <w:t xml:space="preserve">Tier 1 (blue, 12 inputs): </w:t>
      </w:r>
      <w:r>
        <w:rPr>
          <w:rFonts w:ascii="Arial" w:cs="Arial" w:eastAsia="Arial" w:hAnsi="Arial"/>
          <w:b w:val="false"/>
          <w:bCs w:val="false"/>
          <w:i w:val="false"/>
          <w:iCs w:val="false"/>
          <w:color w:val="374151"/>
          <w:sz w:val="20"/>
          <w:szCs w:val="20"/>
        </w:rPr>
        <w:t xml:space="preserve">State, Construction, Occupancy, Dwelling Value, Coverage, Year Built, Sq Ft, Stories, Protection Class, Roof Material, Roof Age, Fire Station Distance.</w:t>
      </w:r>
    </w:p>
    <w:p>
      <w:pPr>
        <w:spacing w:after="120"/>
      </w:pPr>
      <w:r>
        <w:rPr>
          <w:rFonts w:ascii="Arial" w:cs="Arial" w:eastAsia="Arial" w:hAnsi="Arial"/>
          <w:b/>
          <w:bCs/>
          <w:i w:val="false"/>
          <w:iCs w:val="false"/>
          <w:color w:val="6D28D9"/>
          <w:sz w:val="20"/>
          <w:szCs w:val="20"/>
        </w:rPr>
        <w:t xml:space="preserve">Tier 2 (indigo, 13 inputs): </w:t>
      </w:r>
      <w:r>
        <w:rPr>
          <w:rFonts w:ascii="Arial" w:cs="Arial" w:eastAsia="Arial" w:hAnsi="Arial"/>
          <w:b w:val="false"/>
          <w:bCs w:val="false"/>
          <w:i w:val="false"/>
          <w:iCs w:val="false"/>
          <w:color w:val="374151"/>
          <w:sz w:val="20"/>
          <w:szCs w:val="20"/>
        </w:rPr>
        <w:t xml:space="preserve">Prior Claims, Credit Score (auto-suppressed CA/MA/HI), Deductible, Pool, Trampoline, Dog, Security, Smoke, Sprinkler, Gated, Knob-and-Tube, Polybutylene, Permit Score.</w:t>
      </w:r>
    </w:p>
    <w:p>
      <w:pPr>
        <w:spacing w:after="120"/>
      </w:pPr>
      <w:r>
        <w:rPr>
          <w:rFonts w:ascii="Arial" w:cs="Arial" w:eastAsia="Arial" w:hAnsi="Arial"/>
          <w:b/>
          <w:bCs/>
          <w:i w:val="false"/>
          <w:iCs w:val="false"/>
          <w:color w:val="B45309"/>
          <w:sz w:val="20"/>
          <w:szCs w:val="20"/>
        </w:rPr>
        <w:t xml:space="preserve">Tier 3 (amber, 9 inputs): </w:t>
      </w:r>
      <w:r>
        <w:rPr>
          <w:rFonts w:ascii="Arial" w:cs="Arial" w:eastAsia="Arial" w:hAnsi="Arial"/>
          <w:b w:val="false"/>
          <w:bCs w:val="false"/>
          <w:i w:val="false"/>
          <w:iCs w:val="false"/>
          <w:color w:val="374151"/>
          <w:sz w:val="20"/>
          <w:szCs w:val="20"/>
        </w:rPr>
        <w:t xml:space="preserve">Wildfire/Flood/Earthquake/Hail zones, Vegetation Risk, Dist to Coast, Defensible Space, Slope, Post-burn Rainfall. These drive M̂.</w:t>
      </w:r>
    </w:p>
    <w:p>
      <w:pPr>
        <w:spacing w:before="200" w:after="100"/>
      </w:pPr>
      <w:r>
        <w:rPr>
          <w:rFonts w:ascii="Arial" w:cs="Arial" w:eastAsia="Arial" w:hAnsi="Arial"/>
          <w:b/>
          <w:bCs/>
          <w:color w:val="B45309"/>
          <w:sz w:val="20"/>
          <w:szCs w:val="20"/>
        </w:rPr>
        <w:t xml:space="preserve">Live Interaction Signals</w:t>
      </w:r>
    </w:p>
    <w:p>
      <w:pPr>
        <w:spacing w:after="120"/>
        <w:jc w:val="left"/>
      </w:pPr>
      <w:r>
        <w:rPr>
          <w:rFonts w:ascii="Arial" w:cs="Arial" w:eastAsia="Arial" w:hAnsi="Arial"/>
          <w:b w:val="false"/>
          <w:bCs w:val="false"/>
          <w:i w:val="false"/>
          <w:iCs w:val="false"/>
          <w:color w:val="374151"/>
          <w:sz w:val="20"/>
          <w:szCs w:val="20"/>
        </w:rPr>
        <w:t xml:space="preserve">Real-time panel below T3 inputs showing which rule-based labels are active (display-only, from _get_interactions()). Green banner if no interactions match.</w:t>
      </w:r>
    </w:p>
    <w:p>
      <w:pPr>
        <w:spacing w:before="200" w:after="100"/>
      </w:pPr>
      <w:r>
        <w:rPr>
          <w:rFonts w:ascii="Arial" w:cs="Arial" w:eastAsia="Arial" w:hAnsi="Arial"/>
          <w:b/>
          <w:bCs/>
          <w:color w:val="B45309"/>
          <w:sz w:val="20"/>
          <w:szCs w:val="20"/>
        </w:rPr>
        <w:t xml:space="preserve">Results Display</w:t>
      </w:r>
    </w:p>
    <w:p>
      <w:pPr>
        <w:pStyle w:val="ListParagraph"/>
        <w:numPr>
          <w:ilvl w:val="0"/>
          <w:numId w:val="2"/>
        </w:numPr>
        <w:spacing w:after="80"/>
      </w:pPr>
      <w:r>
        <w:rPr>
          <w:rFonts w:ascii="Arial" w:cs="Arial" w:eastAsia="Arial" w:hAnsi="Arial"/>
          <w:b/>
          <w:bCs/>
          <w:color w:val="374151"/>
          <w:sz w:val="20"/>
          <w:szCs w:val="20"/>
        </w:rPr>
        <w:t xml:space="preserve">Risk Score Gauge: </w:t>
      </w:r>
      <w:r>
        <w:rPr>
          <w:rFonts w:ascii="Arial" w:cs="Arial" w:eastAsia="Arial" w:hAnsi="Arial"/>
          <w:color w:val="374151"/>
          <w:sz w:val="20"/>
          <w:szCs w:val="20"/>
        </w:rPr>
        <w:t xml:space="preserve">0–1000 dial (Score A1). Colour-coded bands → underwriting triage label.</w:t>
      </w:r>
    </w:p>
    <w:p>
      <w:pPr>
        <w:pStyle w:val="ListParagraph"/>
        <w:numPr>
          <w:ilvl w:val="0"/>
          <w:numId w:val="2"/>
        </w:numPr>
        <w:spacing w:after="80"/>
      </w:pPr>
      <w:r>
        <w:rPr>
          <w:rFonts w:ascii="Arial" w:cs="Arial" w:eastAsia="Arial" w:hAnsi="Arial"/>
          <w:b/>
          <w:bCs/>
          <w:color w:val="374151"/>
          <w:sz w:val="20"/>
          <w:szCs w:val="20"/>
        </w:rPr>
        <w:t xml:space="preserve">Six Metric Cards: </w:t>
      </w:r>
      <w:r>
        <w:rPr>
          <w:rFonts w:ascii="Arial" w:cs="Arial" w:eastAsia="Arial" w:hAnsi="Arial"/>
          <w:color w:val="374151"/>
          <w:sz w:val="20"/>
          <w:szCs w:val="20"/>
        </w:rPr>
        <w:t xml:space="preserve">λ, μ, M̂ (amber, with % of E[L] from T3), E[L], Premium, Score A2.</w:t>
      </w:r>
    </w:p>
    <w:p>
      <w:pPr>
        <w:pStyle w:val="ListParagraph"/>
        <w:numPr>
          <w:ilvl w:val="0"/>
          <w:numId w:val="2"/>
        </w:numPr>
        <w:spacing w:after="80"/>
      </w:pPr>
      <w:r>
        <w:rPr>
          <w:rFonts w:ascii="Arial" w:cs="Arial" w:eastAsia="Arial" w:hAnsi="Arial"/>
          <w:b/>
          <w:bCs/>
          <w:color w:val="374151"/>
          <w:sz w:val="20"/>
          <w:szCs w:val="20"/>
        </w:rPr>
        <w:t xml:space="preserve">Formula Breakdown: </w:t>
      </w:r>
      <w:r>
        <w:rPr>
          <w:rFonts w:ascii="Arial" w:cs="Arial" w:eastAsia="Arial" w:hAnsi="Arial"/>
          <w:color w:val="374151"/>
          <w:sz w:val="20"/>
          <w:szCs w:val="20"/>
        </w:rPr>
        <w:t xml:space="preserve">E[L] = λ × μ × M̂ with colour-coded numeric values.</w:t>
      </w:r>
    </w:p>
    <w:p>
      <w:pPr>
        <w:pStyle w:val="ListParagraph"/>
        <w:numPr>
          <w:ilvl w:val="0"/>
          <w:numId w:val="2"/>
        </w:numPr>
        <w:spacing w:after="80"/>
      </w:pPr>
      <w:r>
        <w:rPr>
          <w:rFonts w:ascii="Arial" w:cs="Arial" w:eastAsia="Arial" w:hAnsi="Arial"/>
          <w:b/>
          <w:bCs/>
          <w:color w:val="374151"/>
          <w:sz w:val="20"/>
          <w:szCs w:val="20"/>
        </w:rPr>
        <w:t xml:space="preserve">Tier 3 Attribution Block: </w:t>
      </w:r>
      <w:r>
        <w:rPr>
          <w:rFonts w:ascii="Arial" w:cs="Arial" w:eastAsia="Arial" w:hAnsi="Arial"/>
          <w:color w:val="374151"/>
          <w:sz w:val="20"/>
          <w:szCs w:val="20"/>
        </w:rPr>
        <w:t xml:space="preserve">Three panels: E[L] without T3, dollar amount added by T3, total E[L].</w:t>
      </w:r>
    </w:p>
    <w:p>
      <w:pPr>
        <w:pStyle w:val="ListParagraph"/>
        <w:numPr>
          <w:ilvl w:val="0"/>
          <w:numId w:val="2"/>
        </w:numPr>
        <w:spacing w:after="80"/>
      </w:pPr>
      <w:r>
        <w:rPr>
          <w:rFonts w:ascii="Arial" w:cs="Arial" w:eastAsia="Arial" w:hAnsi="Arial"/>
          <w:b/>
          <w:bCs/>
          <w:color w:val="374151"/>
          <w:sz w:val="20"/>
          <w:szCs w:val="20"/>
        </w:rPr>
        <w:t xml:space="preserve">Interaction Cards + Rule vs Model: </w:t>
      </w:r>
      <w:r>
        <w:rPr>
          <w:rFonts w:ascii="Arial" w:cs="Arial" w:eastAsia="Arial" w:hAnsi="Arial"/>
          <w:color w:val="374151"/>
          <w:sz w:val="20"/>
          <w:szCs w:val="20"/>
        </w:rPr>
        <w:t xml:space="preserve">Per-interaction cards with reference multiplier. Below: Rule-based product vs Model M̂, with gap attributed to ensemble discoveries.</w:t>
      </w:r>
    </w:p>
    <w:p>
      <w:pPr>
        <w:pStyle w:val="ListParagraph"/>
        <w:numPr>
          <w:ilvl w:val="0"/>
          <w:numId w:val="2"/>
        </w:numPr>
        <w:spacing w:after="80"/>
      </w:pPr>
      <w:r>
        <w:rPr>
          <w:rFonts w:ascii="Arial" w:cs="Arial" w:eastAsia="Arial" w:hAnsi="Arial"/>
          <w:b/>
          <w:bCs/>
          <w:color w:val="374151"/>
          <w:sz w:val="20"/>
          <w:szCs w:val="20"/>
        </w:rPr>
        <w:t xml:space="preserve">Underwriting Summary: </w:t>
      </w:r>
      <w:r>
        <w:rPr>
          <w:rFonts w:ascii="Arial" w:cs="Arial" w:eastAsia="Arial" w:hAnsi="Arial"/>
          <w:color w:val="374151"/>
          <w:sz w:val="20"/>
          <w:szCs w:val="20"/>
        </w:rPr>
        <w:t xml:space="preserve">Auto-generated narrative with Risk Drivers, Risk Mitigants, and Recommendations.</w:t>
      </w:r>
    </w:p>
    <w:p>
      <w:r>
        <w:br w:type="page"/>
      </w:r>
    </w:p>
    <w:p>
      <w:pPr>
        <w:pStyle w:val="Heading2"/>
        <w:spacing w:before="300" w:after="160"/>
      </w:pPr>
      <w:r>
        <w:rPr>
          <w:rFonts w:ascii="Arial" w:cs="Arial" w:eastAsia="Arial" w:hAnsi="Arial"/>
          <w:b/>
          <w:bCs/>
          <w:color w:val="1D4ED8"/>
          <w:sz w:val="26"/>
          <w:szCs w:val="26"/>
        </w:rPr>
        <w:t xml:space="preserve">5.4 Tab 2: GLM + M̂ Story</w:t>
      </w:r>
    </w:p>
    <w:p>
      <w:pPr>
        <w:pStyle w:val="Heading3"/>
        <w:spacing w:before="240" w:after="120"/>
      </w:pPr>
      <w:r>
        <w:rPr>
          <w:rFonts w:ascii="Arial" w:cs="Arial" w:eastAsia="Arial" w:hAnsi="Arial"/>
          <w:b/>
          <w:bCs/>
          <w:color w:val="6D28D9"/>
          <w:sz w:val="22"/>
          <w:szCs w:val="22"/>
        </w:rPr>
        <w:t xml:space="preserve">Objective</w:t>
      </w:r>
    </w:p>
    <w:p>
      <w:pPr>
        <w:spacing w:after="120"/>
        <w:jc w:val="left"/>
      </w:pPr>
      <w:r>
        <w:rPr>
          <w:rFonts w:ascii="Arial" w:cs="Arial" w:eastAsia="Arial" w:hAnsi="Arial"/>
          <w:b w:val="false"/>
          <w:bCs w:val="false"/>
          <w:i w:val="false"/>
          <w:iCs w:val="false"/>
          <w:color w:val="374151"/>
          <w:sz w:val="20"/>
          <w:szCs w:val="20"/>
        </w:rPr>
        <w:t xml:space="preserve">The commercial centrepiece. Proves M̂ captures compounding risks the baseline GLM misses.</w:t>
      </w:r>
    </w:p>
    <w:p>
      <w:pPr>
        <w:spacing w:before="200" w:after="100"/>
      </w:pPr>
      <w:r>
        <w:rPr>
          <w:rFonts w:ascii="Arial" w:cs="Arial" w:eastAsia="Arial" w:hAnsi="Arial"/>
          <w:b/>
          <w:bCs/>
          <w:color w:val="B45309"/>
          <w:sz w:val="20"/>
          <w:szCs w:val="20"/>
        </w:rPr>
        <w:t xml:space="preserve">Part 1 — Baseline vs M̂</w:t>
      </w:r>
    </w:p>
    <w:p>
      <w:pPr>
        <w:spacing w:after="120"/>
        <w:jc w:val="left"/>
      </w:pPr>
      <w:r>
        <w:rPr>
          <w:rFonts w:ascii="Arial" w:cs="Arial" w:eastAsia="Arial" w:hAnsi="Arial"/>
          <w:b w:val="false"/>
          <w:bCs w:val="false"/>
          <w:i w:val="false"/>
          <w:iCs w:val="false"/>
          <w:color w:val="374151"/>
          <w:sz w:val="20"/>
          <w:szCs w:val="20"/>
        </w:rPr>
        <w:t xml:space="preserve">Side-by-side: GLM-only (M̂=1.0) vs full GLM×M̂. Premium Gap dumbbell chart below.</w:t>
      </w:r>
    </w:p>
    <w:p>
      <w:pPr>
        <w:spacing w:before="200" w:after="100"/>
      </w:pPr>
      <w:r>
        <w:rPr>
          <w:rFonts w:ascii="Arial" w:cs="Arial" w:eastAsia="Arial" w:hAnsi="Arial"/>
          <w:b/>
          <w:bCs/>
          <w:color w:val="B45309"/>
          <w:sz w:val="20"/>
          <w:szCs w:val="20"/>
        </w:rPr>
        <w:t xml:space="preserve">Part 2 — Scenario Cards</w:t>
      </w:r>
    </w:p>
    <w:p>
      <w:pPr>
        <w:spacing w:after="120"/>
        <w:jc w:val="left"/>
      </w:pPr>
      <w:r>
        <w:rPr>
          <w:rFonts w:ascii="Arial" w:cs="Arial" w:eastAsia="Arial" w:hAnsi="Arial"/>
          <w:b w:val="false"/>
          <w:bCs w:val="false"/>
          <w:i w:val="false"/>
          <w:iCs w:val="false"/>
          <w:color w:val="374151"/>
          <w:sz w:val="20"/>
          <w:szCs w:val="20"/>
        </w:rPr>
        <w:t xml:space="preserve">2×2 matrix: Asphalt/Wood × Low/High wildfire. Card D (Wood+High) produces the largest gap.</w:t>
      </w:r>
    </w:p>
    <w:p>
      <w:pPr>
        <w:spacing w:before="200" w:after="100"/>
      </w:pPr>
      <w:r>
        <w:rPr>
          <w:rFonts w:ascii="Arial" w:cs="Arial" w:eastAsia="Arial" w:hAnsi="Arial"/>
          <w:b/>
          <w:bCs/>
          <w:color w:val="B45309"/>
          <w:sz w:val="20"/>
          <w:szCs w:val="20"/>
        </w:rPr>
        <w:t xml:space="preserve">Part 3 — Portfolio M̂ Distribution</w:t>
      </w:r>
    </w:p>
    <w:p>
      <w:pPr>
        <w:spacing w:after="120"/>
        <w:jc w:val="left"/>
      </w:pPr>
      <w:r>
        <w:rPr>
          <w:rFonts w:ascii="Arial" w:cs="Arial" w:eastAsia="Arial" w:hAnsi="Arial"/>
          <w:b w:val="false"/>
          <w:bCs w:val="false"/>
          <w:i w:val="false"/>
          <w:iCs w:val="false"/>
          <w:color w:val="374151"/>
          <w:sz w:val="20"/>
          <w:szCs w:val="20"/>
        </w:rPr>
        <w:t xml:space="preserve">Histogram with median and P90 lines. Most policies near 1.0; tail extends to ×3.5.</w:t>
      </w:r>
    </w:p>
    <w:p>
      <w:r>
        <w:br w:type="page"/>
      </w:r>
    </w:p>
    <w:p>
      <w:pPr>
        <w:pStyle w:val="Heading2"/>
        <w:spacing w:before="300" w:after="160"/>
      </w:pPr>
      <w:r>
        <w:rPr>
          <w:rFonts w:ascii="Arial" w:cs="Arial" w:eastAsia="Arial" w:hAnsi="Arial"/>
          <w:b/>
          <w:bCs/>
          <w:color w:val="1D4ED8"/>
          <w:sz w:val="26"/>
          <w:szCs w:val="26"/>
        </w:rPr>
        <w:t xml:space="preserve">5.5 Tab 3: What-If Simulator</w:t>
      </w:r>
    </w:p>
    <w:p>
      <w:pPr>
        <w:spacing w:after="120"/>
        <w:jc w:val="left"/>
      </w:pPr>
      <w:r>
        <w:rPr>
          <w:rFonts w:ascii="Arial" w:cs="Arial" w:eastAsia="Arial" w:hAnsi="Arial"/>
          <w:b w:val="false"/>
          <w:bCs w:val="false"/>
          <w:i w:val="false"/>
          <w:iCs w:val="false"/>
          <w:color w:val="374151"/>
          <w:sz w:val="20"/>
          <w:szCs w:val="20"/>
        </w:rPr>
        <w:t xml:space="preserve">Start from any scored policy, modify features, see instant delta. Three columns: Tier 1 structural, Tier 2 behavioural, Tier 3 hazard. Red/green delta indicators. Key moment: Wood Shake → Metal roof shows M̂ drop → exact dollar value of roof replacement.</w:t>
      </w:r>
    </w:p>
    <w:p>
      <w:r>
        <w:br w:type="page"/>
      </w:r>
    </w:p>
    <w:p>
      <w:pPr>
        <w:pStyle w:val="Heading2"/>
        <w:spacing w:before="300" w:after="160"/>
      </w:pPr>
      <w:r>
        <w:rPr>
          <w:rFonts w:ascii="Arial" w:cs="Arial" w:eastAsia="Arial" w:hAnsi="Arial"/>
          <w:b/>
          <w:bCs/>
          <w:color w:val="1D4ED8"/>
          <w:sz w:val="26"/>
          <w:szCs w:val="26"/>
        </w:rPr>
        <w:t xml:space="preserve">5.6 Tab 4: Portfolio &amp; Performance</w:t>
      </w:r>
    </w:p>
    <w:p>
      <w:pPr>
        <w:pStyle w:val="Heading3"/>
        <w:spacing w:before="240" w:after="120"/>
      </w:pPr>
      <w:r>
        <w:rPr>
          <w:rFonts w:ascii="Arial" w:cs="Arial" w:eastAsia="Arial" w:hAnsi="Arial"/>
          <w:b/>
          <w:bCs/>
          <w:color w:val="6D28D9"/>
          <w:sz w:val="22"/>
          <w:szCs w:val="22"/>
        </w:rPr>
        <w:t xml:space="preserve">Sub-tab 4a: Portfolio Overview</w:t>
      </w:r>
    </w:p>
    <w:p>
      <w:pPr>
        <w:spacing w:after="120"/>
        <w:jc w:val="left"/>
      </w:pPr>
      <w:r>
        <w:rPr>
          <w:rFonts w:ascii="Arial" w:cs="Arial" w:eastAsia="Arial" w:hAnsi="Arial"/>
          <w:b w:val="false"/>
          <w:bCs w:val="false"/>
          <w:i w:val="false"/>
          <w:iCs w:val="false"/>
          <w:color w:val="374151"/>
          <w:sz w:val="20"/>
          <w:szCs w:val="20"/>
        </w:rPr>
        <w:t xml:space="preserve">KPIs: Total Policies, Premium, E[L], Avg M̂, % Active T3.</w:t>
      </w:r>
    </w:p>
    <w:p>
      <w:pPr>
        <w:spacing w:after="120"/>
        <w:jc w:val="left"/>
      </w:pPr>
      <w:r>
        <w:rPr>
          <w:rFonts w:ascii="Arial" w:cs="Arial" w:eastAsia="Arial" w:hAnsi="Arial"/>
          <w:b w:val="false"/>
          <w:bCs w:val="false"/>
          <w:i w:val="false"/>
          <w:iCs w:val="false"/>
          <w:color w:val="374151"/>
          <w:sz w:val="20"/>
          <w:szCs w:val="20"/>
        </w:rPr>
        <w:t xml:space="preserve">Row 1: Risk band distribution (bar+line) + US choropleth map (mean M̂ by state, amber→brown scale, 10 modelled states, others gray). Hover: policy count, premium, E[L], top peril.</w:t>
      </w:r>
    </w:p>
    <w:p>
      <w:pPr>
        <w:spacing w:after="120"/>
        <w:jc w:val="left"/>
      </w:pPr>
      <w:r>
        <w:rPr>
          <w:rFonts w:ascii="Arial" w:cs="Arial" w:eastAsia="Arial" w:hAnsi="Arial"/>
          <w:b w:val="false"/>
          <w:bCs w:val="false"/>
          <w:i w:val="false"/>
          <w:iCs w:val="false"/>
          <w:color w:val="374151"/>
          <w:sz w:val="20"/>
          <w:szCs w:val="20"/>
        </w:rPr>
        <w:t xml:space="preserve">Row 1b: State × Peril heatmap (10×4 grid, mean M̂ per state × high-peril zone). &lt;20 policies = “—”. Proves same peril → different compounding by geography.</w:t>
      </w:r>
    </w:p>
    <w:p>
      <w:pPr>
        <w:spacing w:after="120"/>
        <w:jc w:val="left"/>
      </w:pPr>
      <w:r>
        <w:rPr>
          <w:rFonts w:ascii="Arial" w:cs="Arial" w:eastAsia="Arial" w:hAnsi="Arial"/>
          <w:b w:val="false"/>
          <w:bCs w:val="false"/>
          <w:i w:val="false"/>
          <w:iCs w:val="false"/>
          <w:color w:val="374151"/>
          <w:sz w:val="20"/>
          <w:szCs w:val="20"/>
        </w:rPr>
        <w:t xml:space="preserve">Row 2: M̂ vs E[L] scatter + Loss Ratio by band (with 65% target and 100% lines).</w:t>
      </w:r>
    </w:p>
    <w:p>
      <w:pPr>
        <w:spacing w:after="120"/>
        <w:jc w:val="left"/>
      </w:pPr>
      <w:r>
        <w:rPr>
          <w:rFonts w:ascii="Arial" w:cs="Arial" w:eastAsia="Arial" w:hAnsi="Arial"/>
          <w:b w:val="false"/>
          <w:bCs w:val="false"/>
          <w:i w:val="false"/>
          <w:iCs w:val="false"/>
          <w:color w:val="374151"/>
          <w:sz w:val="20"/>
          <w:szCs w:val="20"/>
        </w:rPr>
        <w:t xml:space="preserve">Row 3: Feature distributions. Row 4: Correlation matrix (high M̂–E[L] correlation confirms T3 dominance).</w:t>
      </w:r>
    </w:p>
    <w:p>
      <w:pPr>
        <w:pStyle w:val="Heading3"/>
        <w:spacing w:before="240" w:after="120"/>
      </w:pPr>
      <w:r>
        <w:rPr>
          <w:rFonts w:ascii="Arial" w:cs="Arial" w:eastAsia="Arial" w:hAnsi="Arial"/>
          <w:b/>
          <w:bCs/>
          <w:color w:val="6D28D9"/>
          <w:sz w:val="22"/>
          <w:szCs w:val="22"/>
        </w:rPr>
        <w:t xml:space="preserve">Sub-tab 4b: Business Impact</w:t>
      </w:r>
    </w:p>
    <w:p>
      <w:pPr>
        <w:spacing w:after="120"/>
        <w:jc w:val="left"/>
      </w:pPr>
      <w:r>
        <w:rPr>
          <w:rFonts w:ascii="Arial" w:cs="Arial" w:eastAsia="Arial" w:hAnsi="Arial"/>
          <w:b w:val="false"/>
          <w:bCs w:val="false"/>
          <w:i w:val="false"/>
          <w:iCs w:val="false"/>
          <w:color w:val="374151"/>
          <w:sz w:val="20"/>
          <w:szCs w:val="20"/>
        </w:rPr>
        <w:t xml:space="preserve">ROI calculator (sliders → three financial pillars). Reclassification scatter (hidden dangers / hidden gems). Underwriting efficiency (45 min → 2 sec).</w:t>
      </w:r>
    </w:p>
    <w:p>
      <w:pPr>
        <w:pStyle w:val="Heading3"/>
        <w:spacing w:before="240" w:after="120"/>
      </w:pPr>
      <w:r>
        <w:rPr>
          <w:rFonts w:ascii="Arial" w:cs="Arial" w:eastAsia="Arial" w:hAnsi="Arial"/>
          <w:b/>
          <w:bCs/>
          <w:color w:val="6D28D9"/>
          <w:sz w:val="22"/>
          <w:szCs w:val="22"/>
        </w:rPr>
        <w:t xml:space="preserve">Sub-tab 4c: Model Performance</w:t>
      </w:r>
    </w:p>
    <w:p>
      <w:pPr>
        <w:spacing w:after="120"/>
        <w:jc w:val="left"/>
      </w:pPr>
      <w:r>
        <w:rPr>
          <w:rFonts w:ascii="Arial" w:cs="Arial" w:eastAsia="Arial" w:hAnsi="Arial"/>
          <w:b w:val="false"/>
          <w:bCs w:val="false"/>
          <w:i w:val="false"/>
          <w:iCs w:val="false"/>
          <w:color w:val="374151"/>
          <w:sz w:val="20"/>
          <w:szCs w:val="20"/>
        </w:rPr>
        <w:t xml:space="preserve">Decile lift, calibration curves, three-track R², reclassification statistics.</w:t>
      </w:r>
    </w:p>
    <w:p>
      <w:r>
        <w:br w:type="page"/>
      </w:r>
    </w:p>
    <w:p>
      <w:pPr>
        <w:pStyle w:val="Heading2"/>
        <w:spacing w:before="300" w:after="160"/>
      </w:pPr>
      <w:r>
        <w:rPr>
          <w:rFonts w:ascii="Arial" w:cs="Arial" w:eastAsia="Arial" w:hAnsi="Arial"/>
          <w:b/>
          <w:bCs/>
          <w:color w:val="1D4ED8"/>
          <w:sz w:val="26"/>
          <w:szCs w:val="26"/>
        </w:rPr>
        <w:t xml:space="preserve">5.7 Tab 5: Explainability &amp; Data</w:t>
      </w:r>
    </w:p>
    <w:p>
      <w:pPr>
        <w:pStyle w:val="Heading3"/>
        <w:spacing w:before="240" w:after="120"/>
      </w:pPr>
      <w:r>
        <w:rPr>
          <w:rFonts w:ascii="Arial" w:cs="Arial" w:eastAsia="Arial" w:hAnsi="Arial"/>
          <w:b/>
          <w:bCs/>
          <w:color w:val="6D28D9"/>
          <w:sz w:val="22"/>
          <w:szCs w:val="22"/>
        </w:rPr>
        <w:t xml:space="preserve">Sub-tab 5a: SHAP &amp; Attribution</w:t>
      </w:r>
    </w:p>
    <w:p>
      <w:pPr>
        <w:spacing w:after="120"/>
        <w:jc w:val="left"/>
      </w:pPr>
      <w:r>
        <w:rPr>
          <w:rFonts w:ascii="Arial" w:cs="Arial" w:eastAsia="Arial" w:hAnsi="Arial"/>
          <w:b w:val="false"/>
          <w:bCs w:val="false"/>
          <w:i w:val="false"/>
          <w:iCs w:val="false"/>
          <w:color w:val="374151"/>
          <w:sz w:val="20"/>
          <w:szCs w:val="20"/>
        </w:rPr>
        <w:t xml:space="preserve">E[L] waterfall (feature contributions grouped by tier). Per-model SHAP tabs: λ Poisson GLM SHAP (regulatory layer, exact LinearExplainer), M̂ SHAP (TreeExplainer, interaction discovery layer), λ/μ diagnostics. Tier 3 decomposition table.</w:t>
      </w:r>
    </w:p>
    <w:p>
      <w:pPr>
        <w:pStyle w:val="Heading3"/>
        <w:spacing w:before="240" w:after="120"/>
      </w:pPr>
      <w:r>
        <w:rPr>
          <w:rFonts w:ascii="Arial" w:cs="Arial" w:eastAsia="Arial" w:hAnsi="Arial"/>
          <w:b/>
          <w:bCs/>
          <w:color w:val="6D28D9"/>
          <w:sz w:val="22"/>
          <w:szCs w:val="22"/>
        </w:rPr>
        <w:t xml:space="preserve">Sub-tab 5b: Data &amp; Validation</w:t>
      </w:r>
    </w:p>
    <w:p>
      <w:pPr>
        <w:spacing w:after="120"/>
        <w:jc w:val="left"/>
      </w:pPr>
      <w:r>
        <w:rPr>
          <w:rFonts w:ascii="Arial" w:cs="Arial" w:eastAsia="Arial" w:hAnsi="Arial"/>
          <w:b w:val="false"/>
          <w:bCs w:val="false"/>
          <w:i w:val="false"/>
          <w:iCs w:val="false"/>
          <w:color w:val="374151"/>
          <w:sz w:val="20"/>
          <w:szCs w:val="20"/>
        </w:rPr>
        <w:t xml:space="preserve">Dataset overview (100K policies, 61 columns, 10 states). Health checks, distribution summaries, data quality flags.</w:t>
      </w:r>
    </w:p>
    <w:p>
      <w:r>
        <w:br w:type="page"/>
      </w:r>
    </w:p>
    <w:p>
      <w:pPr>
        <w:pStyle w:val="Heading2"/>
        <w:spacing w:before="300" w:after="160"/>
      </w:pPr>
      <w:r>
        <w:rPr>
          <w:rFonts w:ascii="Arial" w:cs="Arial" w:eastAsia="Arial" w:hAnsi="Arial"/>
          <w:b/>
          <w:bCs/>
          <w:color w:val="1D4ED8"/>
          <w:sz w:val="26"/>
          <w:szCs w:val="26"/>
        </w:rPr>
        <w:t xml:space="preserve">5.8 Tab 6: Methodology</w:t>
      </w:r>
    </w:p>
    <w:p>
      <w:pPr>
        <w:spacing w:after="120"/>
        <w:jc w:val="left"/>
      </w:pPr>
      <w:r>
        <w:rPr>
          <w:rFonts w:ascii="Arial" w:cs="Arial" w:eastAsia="Arial" w:hAnsi="Arial"/>
          <w:b w:val="false"/>
          <w:bCs w:val="false"/>
          <w:i w:val="false"/>
          <w:iCs w:val="false"/>
          <w:color w:val="374151"/>
          <w:sz w:val="20"/>
          <w:szCs w:val="20"/>
        </w:rPr>
        <w:t xml:space="preserve">Six reference sub-tabs:</w:t>
      </w:r>
    </w:p>
    <w:p>
      <w:pPr>
        <w:pStyle w:val="ListParagraph"/>
        <w:numPr>
          <w:ilvl w:val="0"/>
          <w:numId w:val="2"/>
        </w:numPr>
        <w:spacing w:after="80"/>
      </w:pPr>
      <w:r>
        <w:rPr>
          <w:rFonts w:ascii="Arial" w:cs="Arial" w:eastAsia="Arial" w:hAnsi="Arial"/>
          <w:b/>
          <w:bCs/>
          <w:color w:val="374151"/>
          <w:sz w:val="20"/>
          <w:szCs w:val="20"/>
        </w:rPr>
        <w:t xml:space="preserve">0 · GLM Foundation: </w:t>
      </w:r>
      <w:r>
        <w:rPr>
          <w:rFonts w:ascii="Arial" w:cs="Arial" w:eastAsia="Arial" w:hAnsi="Arial"/>
          <w:color w:val="374151"/>
          <w:sz w:val="20"/>
          <w:szCs w:val="20"/>
        </w:rPr>
        <w:t xml:space="preserve">Why the GLM is the gold standard. “Why It Works” (regulatory acceptance, Poisson × Gamma decomposition, CAS Monograph alignment) vs “The One Thing It Cannot Do” (additive limitation). Step-by-step M̂ residual learning.</w:t>
      </w:r>
    </w:p>
    <w:p>
      <w:pPr>
        <w:pStyle w:val="ListParagraph"/>
        <w:numPr>
          <w:ilvl w:val="0"/>
          <w:numId w:val="2"/>
        </w:numPr>
        <w:spacing w:after="80"/>
      </w:pPr>
      <w:r>
        <w:rPr>
          <w:rFonts w:ascii="Arial" w:cs="Arial" w:eastAsia="Arial" w:hAnsi="Arial"/>
          <w:b/>
          <w:bCs/>
          <w:color w:val="374151"/>
          <w:sz w:val="20"/>
          <w:szCs w:val="20"/>
        </w:rPr>
        <w:t xml:space="preserve">1 · Architecture: </w:t>
      </w:r>
      <w:r>
        <w:rPr>
          <w:rFonts w:ascii="Arial" w:cs="Arial" w:eastAsia="Arial" w:hAnsi="Arial"/>
          <w:color w:val="374151"/>
          <w:sz w:val="20"/>
          <w:szCs w:val="20"/>
        </w:rPr>
        <w:t xml:space="preserve">Full pipeline diagram. Poisson GLM → Gamma GLM → M̂ ensemble → E[L] → premium → score → triage.</w:t>
      </w:r>
    </w:p>
    <w:p>
      <w:pPr>
        <w:pStyle w:val="ListParagraph"/>
        <w:numPr>
          <w:ilvl w:val="0"/>
          <w:numId w:val="2"/>
        </w:numPr>
        <w:spacing w:after="80"/>
      </w:pPr>
      <w:r>
        <w:rPr>
          <w:rFonts w:ascii="Arial" w:cs="Arial" w:eastAsia="Arial" w:hAnsi="Arial"/>
          <w:b/>
          <w:bCs/>
          <w:color w:val="374151"/>
          <w:sz w:val="20"/>
          <w:szCs w:val="20"/>
        </w:rPr>
        <w:t xml:space="preserve">2 · Variable Selection: </w:t>
      </w:r>
      <w:r>
        <w:rPr>
          <w:rFonts w:ascii="Arial" w:cs="Arial" w:eastAsia="Arial" w:hAnsi="Arial"/>
          <w:color w:val="374151"/>
          <w:sz w:val="20"/>
          <w:szCs w:val="20"/>
        </w:rPr>
        <w:t xml:space="preserve">25-variable schema with tier, correlations, data sources, GLM coefficients.</w:t>
      </w:r>
    </w:p>
    <w:p>
      <w:pPr>
        <w:pStyle w:val="ListParagraph"/>
        <w:numPr>
          <w:ilvl w:val="0"/>
          <w:numId w:val="2"/>
        </w:numPr>
        <w:spacing w:after="80"/>
      </w:pPr>
      <w:r>
        <w:rPr>
          <w:rFonts w:ascii="Arial" w:cs="Arial" w:eastAsia="Arial" w:hAnsi="Arial"/>
          <w:b/>
          <w:bCs/>
          <w:color w:val="374151"/>
          <w:sz w:val="20"/>
          <w:szCs w:val="20"/>
        </w:rPr>
        <w:t xml:space="preserve">3 · Model Math: </w:t>
      </w:r>
      <w:r>
        <w:rPr>
          <w:rFonts w:ascii="Arial" w:cs="Arial" w:eastAsia="Arial" w:hAnsi="Arial"/>
          <w:color w:val="374151"/>
          <w:sz w:val="20"/>
          <w:szCs w:val="20"/>
        </w:rPr>
        <w:t xml:space="preserve">Complete specification including Score A1 and A2 formulas, premium chain.</w:t>
      </w:r>
    </w:p>
    <w:p>
      <w:pPr>
        <w:pStyle w:val="ListParagraph"/>
        <w:numPr>
          <w:ilvl w:val="0"/>
          <w:numId w:val="2"/>
        </w:numPr>
        <w:spacing w:after="80"/>
      </w:pPr>
      <w:r>
        <w:rPr>
          <w:rFonts w:ascii="Arial" w:cs="Arial" w:eastAsia="Arial" w:hAnsi="Arial"/>
          <w:b/>
          <w:bCs/>
          <w:color w:val="374151"/>
          <w:sz w:val="20"/>
          <w:szCs w:val="20"/>
        </w:rPr>
        <w:t xml:space="preserve">4 · Explainability: </w:t>
      </w:r>
      <w:r>
        <w:rPr>
          <w:rFonts w:ascii="Arial" w:cs="Arial" w:eastAsia="Arial" w:hAnsi="Arial"/>
          <w:color w:val="374151"/>
          <w:sz w:val="20"/>
          <w:szCs w:val="20"/>
        </w:rPr>
        <w:t xml:space="preserve">SHAP methodology. LinearExplainer for GLMs (O(M) exact), TreeExplainer for ensemble.</w:t>
      </w:r>
    </w:p>
    <w:p>
      <w:pPr>
        <w:pStyle w:val="ListParagraph"/>
        <w:numPr>
          <w:ilvl w:val="0"/>
          <w:numId w:val="2"/>
        </w:numPr>
        <w:spacing w:after="80"/>
      </w:pPr>
      <w:r>
        <w:rPr>
          <w:rFonts w:ascii="Arial" w:cs="Arial" w:eastAsia="Arial" w:hAnsi="Arial"/>
          <w:b/>
          <w:bCs/>
          <w:color w:val="374151"/>
          <w:sz w:val="20"/>
          <w:szCs w:val="20"/>
        </w:rPr>
        <w:t xml:space="preserve">5 · Regulatory: </w:t>
      </w:r>
      <w:r>
        <w:rPr>
          <w:rFonts w:ascii="Arial" w:cs="Arial" w:eastAsia="Arial" w:hAnsi="Arial"/>
          <w:color w:val="374151"/>
          <w:sz w:val="20"/>
          <w:szCs w:val="20"/>
        </w:rPr>
        <w:t xml:space="preserve">NAIC AI Bulletin compliance (24+ states). GLM Rate Relativities section now shows side-by-side Poisson (frequency) and Gamma (severity) exp(β) tables from the actual pricing-chain models. Tweedie distribution theory is retained as educational background only.</w:t>
      </w:r>
    </w:p>
    <w:p>
      <w:r>
        <w:br w:type="page"/>
      </w:r>
    </w:p>
    <w:p>
      <w:pPr>
        <w:pStyle w:val="Heading1"/>
        <w:spacing w:before="360" w:after="200"/>
      </w:pPr>
      <w:r>
        <w:rPr>
          <w:rFonts w:ascii="Arial" w:cs="Arial" w:eastAsia="Arial" w:hAnsi="Arial"/>
          <w:b/>
          <w:bCs/>
          <w:color w:val="0F172A"/>
          <w:sz w:val="32"/>
          <w:szCs w:val="32"/>
        </w:rPr>
        <w:t xml:space="preserve">6. Technical Reference</w:t>
      </w:r>
    </w:p>
    <w:p>
      <w:pPr>
        <w:pStyle w:val="Heading2"/>
        <w:spacing w:before="300" w:after="160"/>
      </w:pPr>
      <w:r>
        <w:rPr>
          <w:rFonts w:ascii="Arial" w:cs="Arial" w:eastAsia="Arial" w:hAnsi="Arial"/>
          <w:b/>
          <w:bCs/>
          <w:color w:val="1D4ED8"/>
          <w:sz w:val="26"/>
          <w:szCs w:val="26"/>
        </w:rPr>
        <w:t xml:space="preserve">6.1 Technology Stack</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160"/>
      </w:tblGrid>
      <w:tr>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41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Frontend</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Streamlit</w:t>
            </w:r>
          </w:p>
        </w:tc>
        <w:tc>
          <w:tcPr>
            <w:tcW w:type="dxa" w:w="4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Interactive widgets; responsive layout</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Visualisation</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Plotly (go + px)</w:t>
            </w:r>
          </w:p>
        </w:tc>
        <w:tc>
          <w:tcPr>
            <w:tcW w:type="dxa" w:w="4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Gauges, waterfalls, choropleths, heatmaps, scatter, dumbbell charts</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Data</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Pandas / NumPy / PyArrow</w:t>
            </w:r>
          </w:p>
        </w:tc>
        <w:tc>
          <w:tcPr>
            <w:tcW w:type="dxa" w:w="4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DataFrame operations, Parquet I/O</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GLM (Pricing Chain)</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sklearn PoissonRegressor + GammaRegressor</w:t>
            </w:r>
          </w:p>
        </w:tc>
        <w:tc>
          <w:tcPr>
            <w:tcW w:type="dxa" w:w="4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Frequency × severity baseline — the actual pricing models</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 Ensemble</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sklearn RF + HGB + ET → Ridge → Isotonic</w:t>
            </w:r>
          </w:p>
        </w:tc>
        <w:tc>
          <w:tcPr>
            <w:tcW w:type="dxa" w:w="4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Interaction multiplier from GLM residuals</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Score A2 Display</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sklearn HistGradientBoosting (freq + sev)</w:t>
            </w:r>
          </w:p>
        </w:tc>
        <w:tc>
          <w:tcPr>
            <w:tcW w:type="dxa" w:w="4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Freq/sev decomposition for SHAP waterfall; not in pricing</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Explainability</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shap LinearExplainer + TreeExplainer</w:t>
            </w:r>
          </w:p>
        </w:tc>
        <w:tc>
          <w:tcPr>
            <w:tcW w:type="dxa" w:w="4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Exact GLM SHAP + tree SHAP for interaction decomposition</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Diagnostics</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statsmodels</w:t>
            </w:r>
          </w:p>
        </w:tc>
        <w:tc>
          <w:tcPr>
            <w:tcW w:type="dxa" w:w="4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LRT, deviance, AIC/BIC</w:t>
            </w:r>
          </w:p>
        </w:tc>
      </w:tr>
    </w:tbl>
    <w:p>
      <w:pPr>
        <w:spacing w:after="120"/>
        <w:jc w:val="left"/>
      </w:pPr>
      <w:r>
        <w:rPr>
          <w:rFonts w:ascii="Arial" w:cs="Arial" w:eastAsia="Arial" w:hAnsi="Arial"/>
          <w:b w:val="false"/>
          <w:bCs w:val="false"/>
          <w:i w:val="false"/>
          <w:iCs w:val="false"/>
          <w:color w:val="374151"/>
          <w:sz w:val="20"/>
          <w:szCs w:val="20"/>
        </w:rPr>
        <w:t xml:space="preserve"/>
      </w:r>
    </w:p>
    <w:p>
      <w:pPr>
        <w:pStyle w:val="Heading2"/>
        <w:spacing w:before="300" w:after="160"/>
      </w:pPr>
      <w:r>
        <w:rPr>
          <w:rFonts w:ascii="Arial" w:cs="Arial" w:eastAsia="Arial" w:hAnsi="Arial"/>
          <w:b/>
          <w:bCs/>
          <w:color w:val="1D4ED8"/>
          <w:sz w:val="26"/>
          <w:szCs w:val="26"/>
        </w:rPr>
        <w:t xml:space="preserve">6.2 Key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gridCol w:w="1000"/>
      </w:tblGrid>
      <w:tr>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File</w:t>
            </w:r>
          </w:p>
        </w:tc>
        <w:tc>
          <w:tcPr>
            <w:tcW w:type="dxa" w:w="61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Lines</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app.py</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Streamlit app. 6 tabs, sidebar, header, CSS, all visualisations.</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~5,450</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predictor.py</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Scoring engine v7. predict(), predict_baseline(), predict_whatif(), batch_predict(). λ×μ×M̂ pricing chain + Score A2 display + _get_interactions() narrative labels.</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~730</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model_trainer.py</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Training pipeline v6. Poisson/Gamma GLMs, M̂ ensemble (group O/E + OOF stacking), Score A2 display models. Serialises artifacts.pkl.</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~700</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data_generator.py</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Synthetic data v6. 100K policies, copula-based dependencies, embedded interactions.</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~600</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config/scoring_config.py</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Pricing config: LR target, score weights, benchmarks.</w:t>
            </w:r>
          </w:p>
        </w:tc>
        <w:tc>
          <w:tcPr>
            <w:tcW w:type="dxa" w:w="1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~60</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models/artifacts.pkl</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Serialised GLMs, ensemble, scalers, features, metrics.</w:t>
            </w:r>
          </w:p>
        </w:tc>
        <w:tc>
          <w:tcPr>
            <w:tcW w:type="dxa" w:w="1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binary</w:t>
            </w:r>
          </w:p>
        </w:tc>
      </w:tr>
    </w:tbl>
    <w:p>
      <w:pPr>
        <w:spacing w:after="120"/>
        <w:jc w:val="left"/>
      </w:pPr>
      <w:r>
        <w:rPr>
          <w:rFonts w:ascii="Arial" w:cs="Arial" w:eastAsia="Arial" w:hAnsi="Arial"/>
          <w:b w:val="false"/>
          <w:bCs w:val="false"/>
          <w:i w:val="false"/>
          <w:iCs w:val="false"/>
          <w:color w:val="374151"/>
          <w:sz w:val="20"/>
          <w:szCs w:val="20"/>
        </w:rPr>
        <w:t xml:space="preserve"/>
      </w:r>
    </w:p>
    <w:p>
      <w:pPr>
        <w:pStyle w:val="Heading2"/>
        <w:spacing w:before="300" w:after="160"/>
      </w:pPr>
      <w:r>
        <w:rPr>
          <w:rFonts w:ascii="Arial" w:cs="Arial" w:eastAsia="Arial" w:hAnsi="Arial"/>
          <w:b/>
          <w:bCs/>
          <w:color w:val="1D4ED8"/>
          <w:sz w:val="26"/>
          <w:szCs w:val="26"/>
        </w:rPr>
        <w:t xml:space="preserve">6.3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73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8"/>
                <w:szCs w:val="18"/>
              </w:rPr>
              <w:t xml:space="preserve">Definition</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λ</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Annual claim probability. Poisson GLM. Range: 0.002–0.30.</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μ</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Expected claim severity. Gamma GLM. Range: $500–$600K.</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M̂</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Interaction multiplier. Stacked ensemble. 1.0=no interaction; &gt;1.0=compound risk; &lt;1.0=protective.</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E[L]</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Expected annual loss = λ × μ × M̂.</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Score A1</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Primary risk score (0–1000). Log-scaled from E[L]. Drives triage.</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Score A2</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Diagnostic component score. Power-mean of freq + sev sub-scores. Display-only.</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Group O/E</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Observed/Expected at interaction-cell level. M̂ training target.</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GLM</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Generalized Linear Model. Regulatory gold standard.</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Loss Ratio</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Claims/premiums. Target: 67%. &gt;100% = underwriting losses.</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NAIC</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National Association of Insurance Commissioners.</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CAS</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Casualty Actuarial Society.</w:t>
            </w:r>
          </w:p>
        </w:tc>
      </w:tr>
      <w:tr>
        <w:tc>
          <w:tcPr>
            <w:tcW w:type="dxa" w:w="2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WUI</w:t>
            </w:r>
          </w:p>
        </w:tc>
        <w:tc>
          <w:tcPr>
            <w:tcW w:type="dxa" w:w="7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374151"/>
                <w:sz w:val="18"/>
                <w:szCs w:val="18"/>
              </w:rPr>
              <w:t xml:space="preserve">Wildland-Urban Interface.</w:t>
            </w:r>
          </w:p>
        </w:tc>
      </w:tr>
      <w:tr>
        <w:tc>
          <w:tcPr>
            <w:tcW w:type="dxa" w:w="2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CLUE</w:t>
            </w:r>
          </w:p>
        </w:tc>
        <w:tc>
          <w:tcPr>
            <w:tcW w:type="dxa" w:w="7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val="false"/>
                <w:bCs w:val="false"/>
                <w:color w:val="374151"/>
                <w:sz w:val="18"/>
                <w:szCs w:val="18"/>
              </w:rPr>
              <w:t xml:space="preserve">Comprehensive Loss Underwriting Exchange. 7-year claims database.</w:t>
            </w:r>
          </w:p>
        </w:tc>
      </w:tr>
    </w:tbl>
    <w:p>
      <w:pPr>
        <w:spacing w:after="120"/>
        <w:jc w:val="left"/>
      </w:pPr>
      <w:r>
        <w:rPr>
          <w:rFonts w:ascii="Arial" w:cs="Arial" w:eastAsia="Arial" w:hAnsi="Arial"/>
          <w:b w:val="false"/>
          <w:bCs w:val="false"/>
          <w:i w:val="false"/>
          <w:iCs w:val="false"/>
          <w:color w:val="374151"/>
          <w:sz w:val="20"/>
          <w:szCs w:val="20"/>
        </w:rPr>
        <w:t xml:space="preserve"/>
      </w:r>
    </w:p>
    <w:p>
      <w:r>
        <w:br w:type="page"/>
      </w:r>
    </w:p>
    <w:p>
      <w:pPr>
        <w:pStyle w:val="Heading1"/>
        <w:spacing w:before="360" w:after="200"/>
      </w:pPr>
      <w:r>
        <w:rPr>
          <w:rFonts w:ascii="Arial" w:cs="Arial" w:eastAsia="Arial" w:hAnsi="Arial"/>
          <w:b/>
          <w:bCs/>
          <w:color w:val="0F172A"/>
          <w:sz w:val="32"/>
          <w:szCs w:val="32"/>
        </w:rPr>
        <w:t xml:space="preserve">7. Summary</w:t>
      </w:r>
    </w:p>
    <w:p>
      <w:pPr>
        <w:spacing w:after="120"/>
        <w:jc w:val="left"/>
      </w:pPr>
      <w:r>
        <w:rPr>
          <w:rFonts w:ascii="Arial" w:cs="Arial" w:eastAsia="Arial" w:hAnsi="Arial"/>
          <w:b w:val="false"/>
          <w:bCs w:val="false"/>
          <w:i w:val="false"/>
          <w:iCs w:val="false"/>
          <w:color w:val="374151"/>
          <w:sz w:val="20"/>
          <w:szCs w:val="20"/>
        </w:rPr>
        <w:t xml:space="preserve">The US Homeowners Risk Scoring Engine demonstrates a production-aligned architecture for interaction-aware insurance pricing. The core insight: risks compound, and pricing models must compound with them.</w:t>
      </w:r>
    </w:p>
    <w:p>
      <w:pPr>
        <w:spacing w:after="120"/>
        <w:jc w:val="left"/>
      </w:pPr>
      <w:r>
        <w:rPr>
          <w:rFonts w:ascii="Arial" w:cs="Arial" w:eastAsia="Arial" w:hAnsi="Arial"/>
          <w:b w:val="false"/>
          <w:bCs w:val="false"/>
          <w:i w:val="false"/>
          <w:iCs w:val="false"/>
          <w:color w:val="374151"/>
          <w:sz w:val="20"/>
          <w:szCs w:val="20"/>
        </w:rPr>
        <w:t xml:space="preserve">The Poisson × Gamma GLM is the regulatory foundation. M̂ adds the ability to discover, quantify, and price compound-peril effects that additive models miss — without changing the filed model, without inflating portfolio rate levels, and with full SHAP-based explainability at every layer. The 14 Tier 3 features in M̂ represent the output of one SHAP-driven discovery cycle; in production, this cycle runs continuously as new data and peril patterns emerge.</w:t>
      </w:r>
    </w:p>
    <w:p>
      <w:pPr>
        <w:spacing w:after="120"/>
        <w:jc w:val="left"/>
      </w:pPr>
      <w:r>
        <w:rPr>
          <w:rFonts w:ascii="Arial" w:cs="Arial" w:eastAsia="Arial" w:hAnsi="Arial"/>
          <w:b w:val="false"/>
          <w:bCs w:val="false"/>
          <w:i w:val="false"/>
          <w:iCs w:val="false"/>
          <w:color w:val="374151"/>
          <w:sz w:val="20"/>
          <w:szCs w:val="20"/>
        </w:rPr>
        <w:t xml:space="preserve">For carrier prospects: if a competitor uses Tier 3 interaction models and you do not, they will adversely select against you by cherry-picking properties your additive model under-prices.</w:t>
      </w:r>
    </w:p>
    <w:p>
      <w:pPr>
        <w:spacing w:after="120"/>
        <w:jc w:val="left"/>
      </w:pPr>
      <w:r>
        <w:rPr>
          <w:rFonts w:ascii="Arial" w:cs="Arial" w:eastAsia="Arial" w:hAnsi="Arial"/>
          <w:b w:val="false"/>
          <w:bCs w:val="false"/>
          <w:i w:val="false"/>
          <w:iCs w:val="false"/>
          <w:color w:val="374151"/>
          <w:sz w:val="20"/>
          <w:szCs w:val="20"/>
        </w:rPr>
        <w:t xml:space="preserve"/>
      </w:r>
    </w:p>
    <w:p>
      <w:pPr>
        <w:spacing w:after="120"/>
        <w:jc w:val="center"/>
      </w:pPr>
      <w:r>
        <w:rPr>
          <w:rFonts w:ascii="Arial" w:cs="Arial" w:eastAsia="Arial" w:hAnsi="Arial"/>
          <w:b w:val="false"/>
          <w:bCs w:val="false"/>
          <w:i/>
          <w:iCs/>
          <w:color w:val="6B7280"/>
          <w:sz w:val="20"/>
          <w:szCs w:val="20"/>
        </w:rPr>
        <w:t xml:space="preserve">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tabs>
        <w:tab w:val="right" w:pos="9026"/>
      </w:tabs>
    </w:pPr>
    <w:r>
      <w:rPr>
        <w:rFonts w:ascii="Arial" w:cs="Arial" w:eastAsia="Arial" w:hAnsi="Arial"/>
        <w:color w:val="6B7280"/>
        <w:sz w:val="16"/>
        <w:szCs w:val="16"/>
      </w:rPr>
      <w:t xml:space="preserve">US Homeowners Risk Scoring Engine</w:t>
    </w:r>
    <w:r>
      <w:rPr>
        <w:rFonts w:ascii="Arial" w:cs="Arial" w:eastAsia="Arial" w:hAnsi="Arial"/>
        <w:color w:val="6B7280"/>
        <w:sz w:val="16"/>
        <w:szCs w:val="16"/>
      </w:rPr>
      <w:t xml:space="preserve">	Confidential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F172A"/>
      <w:sz w:val="32"/>
      <w:szCs w:val="32"/>
    </w:rPr>
  </w:style>
  <w:style w:type="paragraph" w:styleId="Heading2">
    <w:name w:val="Heading 2"/>
    <w:basedOn w:val="Normal"/>
    <w:next w:val="Normal"/>
    <w:qFormat/>
    <w:pPr>
      <w:spacing w:before="300" w:after="160"/>
      <w:outlineLvl w:val="1"/>
    </w:pPr>
    <w:rPr>
      <w:rFonts w:ascii="Arial" w:cs="Arial" w:eastAsia="Arial" w:hAnsi="Arial"/>
      <w:b/>
      <w:bCs/>
      <w:color w:val="1D4ED8"/>
      <w:sz w:val="26"/>
      <w:szCs w:val="26"/>
    </w:rPr>
  </w:style>
  <w:style w:type="paragraph" w:styleId="Heading3">
    <w:name w:val="Heading 3"/>
    <w:basedOn w:val="Normal"/>
    <w:next w:val="Normal"/>
    <w:qFormat/>
    <w:pPr>
      <w:spacing w:before="240" w:after="120"/>
      <w:outlineLvl w:val="2"/>
    </w:pPr>
    <w:rPr>
      <w:rFonts w:ascii="Arial" w:cs="Arial" w:eastAsia="Arial" w:hAnsi="Arial"/>
      <w:b/>
      <w:bCs/>
      <w:color w:val="6D28D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2026-03-10T07:24:30.047Z</dcterms:created>
  <dcterms:modified xsi:type="dcterms:W3CDTF">2026-03-10T07:24:30.048Z</dcterms:modified>
</cp:coreProperties>
</file>

<file path=docProps/custom.xml><?xml version="1.0" encoding="utf-8"?>
<Properties xmlns="http://schemas.openxmlformats.org/officeDocument/2006/custom-properties" xmlns:vt="http://schemas.openxmlformats.org/officeDocument/2006/docPropsVTypes"/>
</file>