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CRITICAL ILLNESS CLAIMS WIDENED FOR CANCER</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 is why many insurance organizations have widened the range for cancer claims.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critical illness insurance, benefits of critical illness insurance, </w:t>
      </w:r>
      <w:r>
        <w:rPr>
          <w:rFonts w:ascii="Times New Roman" w:hAnsi="Times New Roman"/>
          <w:b w:val="false"/>
          <w:bCs w:val="false"/>
          <w:sz w:val="22"/>
          <w:szCs w:val="22"/>
          <w:u w:val="none"/>
        </w:rPr>
        <w:t>critical illness protection, cancer versus critical illness protection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eastAsia="NSimSun" w:cs="Mangal" w:ascii="Times New Roman" w:hAnsi="Times New Roman"/>
          <w:b w:val="false"/>
          <w:bCs w:val="false"/>
          <w:color w:val="auto"/>
          <w:kern w:val="2"/>
          <w:sz w:val="22"/>
          <w:szCs w:val="22"/>
          <w:u w:val="single"/>
          <w:lang w:val="en-US" w:eastAsia="zh-CN" w:bidi="hi-IN"/>
        </w:rPr>
        <w:t>Cancer versus critical illness protection</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current news, Friends Life, a leading insurance organization in the United Kingdom, has announced that they have updated their critical illness products and policies with the vision to improve and widen the coverage of less advanced cancers. The organization, which already provides specific cover for bladder, prostate, cervix, and breast cancers, will widen their definitions of their critical illness policies for policyholders to be able to claim expenses for an additional sixteen in situ cancers.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According to insurance experts, this policy is now the one with the widest coverage for cancer within a standard policy for critical illness. This news was made public along with the finding that critical illness claims overtook life insurance payouts last year.</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Prospects for critical illness claims:</w:t>
      </w:r>
    </w:p>
    <w:p>
      <w:pPr>
        <w:pStyle w:val="Normal"/>
        <w:bidi w:val="0"/>
        <w:jc w:val="left"/>
        <w:rPr>
          <w:rFonts w:ascii="Times New Roman" w:hAnsi="Times New Roman"/>
          <w:b w:val="false"/>
          <w:b w:val="false"/>
          <w:bCs w:val="false"/>
          <w:sz w:val="22"/>
          <w:szCs w:val="22"/>
          <w:u w:val="none"/>
        </w:rPr>
      </w:pPr>
      <w:r>
        <w:rPr>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Alan Lakey, an insurance expert, stated that the improvements are beneficial; that they could increase the numbers of claims, while simultaneously reduce the number of cancer claims being denied, just because they were found to be in situ cancer.</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Several major changes to the policy – including the introduction of a new overarching condition regarding less advanced cancers and a new additional payment condition termed severe hearing loss – are major improvements to the already popular policy, despite the fact that Alzheimer’s had been removed, as it is covered by the definition of dementia.</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Benefits of critical illness insurance:</w:t>
      </w:r>
    </w:p>
    <w:p>
      <w:pPr>
        <w:pStyle w:val="Normal"/>
        <w:bidi w:val="0"/>
        <w:jc w:val="left"/>
        <w:rPr>
          <w:rFonts w:ascii="Times New Roman" w:hAnsi="Times New Roman"/>
          <w:b w:val="false"/>
          <w:b w:val="false"/>
          <w:bCs w:val="false"/>
          <w:sz w:val="22"/>
          <w:szCs w:val="22"/>
          <w:u w:val="none"/>
        </w:rPr>
      </w:pPr>
      <w:r>
        <w:rPr>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2014, it was published that critical illness payments overtook life insurance payouts for the first time ever. The organization’s head of underwriting highlighted that according to the latest statistics, they had paid a million more in GBP for critical illness claims – numbering around 122 million GBP – than for life insurance claims. That accounts for approximately 94% of critical illness claims being paid, compared to 99% of life insurance payouts.</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Critical illness protection offers a safety net, as quoted by Pollard, implying that people can focus more about getting better while not having to worry about paying the bills, or their financial future worrying about getting out from a debt hole. While cancer still remains one of the largest causes for critical illness claims, there have been increasing numbers of victims of strokes, multiple sclerosis, and heart attacks.</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Given the increasing risks and the excellent claim numbers, it is definitely recommended that you get a critical illness policy in place.</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LibreOffice/6.4.2.2$Windows_X86_64 LibreOffice_project/4e471d8c02c9c90f512f7f9ead8875b57fcb1ec3</Application>
  <Pages>1</Pages>
  <Words>423</Words>
  <Characters>2378</Characters>
  <CharactersWithSpaces>2790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2020-05-16T08:48:19Z</dcterms:modified>
  <cp:revision>9</cp:revision>
  <dc:subject/>
  <dc:title/>
</cp:coreProperties>
</file>