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POLYCYSTIC OVARY SYNDROME</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polycystic ovary syndrome.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polycystic ovary syndrome life insurance, life insurance for polycystic ovary syndrome, PCOS life insurance, life insurance for PCOS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Polycystic Ovary Syndrome</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Abbreviated to PCOS, polycystic ovary syndrome is a hormonal disorder exclusive to women of reproductive age. It can lead to infrequent or prolonged menstrual periods, sometimes to excess androgen (male hormone) levels.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 women affected with Polycystic Ovary Syndrome, the ovaries develop numerous small collections of fluid called follicles, and fail to release eggs regularly.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the exact cause of PCOS is uncertain, early diagnosis and treatment with a weight loss regime can reduce the risk of long term complications of PCOS, such as type-2 diabetes and heart disease.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polycystic ovary syndrome</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
    </w:p>
    <w:p>
      <w:pPr>
        <w:pStyle w:val="Normal"/>
        <w:bidi w:val="0"/>
        <w:ind w:left="567" w:right="0" w:hanging="0"/>
        <w:jc w:val="left"/>
        <w:rPr>
          <w:u w:val="none"/>
        </w:rPr>
      </w:pPr>
      <w:r>
        <w:rPr>
          <w:rFonts w:ascii="Times New Roman" w:hAnsi="Times New Roman"/>
          <w:b w:val="false"/>
          <w:bCs w:val="false"/>
          <w:sz w:val="32"/>
          <w:szCs w:val="32"/>
          <w:u w:val="none"/>
        </w:rPr>
        <w:t>Polycystic Ovary Syndrome has been linked to various other health complications and diseases, such as diabetes (even if pregnant), high cholesterol levels, high blood pressure measurements and hypertension, pre-eclampsia during pregnancy, sleep apnoea, and endometrial cancer.</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While the list of complications is non-exhaustive, no addition to the list changes the fact that women affected by the disease can always obtain a PCOS life insurance policy at standard rates.</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Given that no other medical complications or significant declarations have been found, a polycystic ovary syndrome life insurance has a high chance of not having loaded premiums.</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Insurers will want to inquire more about the conditions, such as its longevity, your control over the syndrome, results of your glucose tolerance test, and the interference of the disease in your day to day life.</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The only place where you can expect your premium rates to be loaded is if you happen to show glucose intolerance, as it is considered to be a sign of looming, borderline type-2 diabetes.</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In similar ways, other types of insurance policies are available for those afflicted by polycystic ovary syndrome, as it is usually considered to be a harmless and risk-free disease by itself.</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Even if the disease may not impose a risk to your health, ti can be a pathway that leads to other conditions. Take care of yourself physically while your insurers handle your finances – get yourself a PCOS life insurance policy today.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LibreOffice/6.4.2.2$Windows_X86_64 LibreOffice_project/4e471d8c02c9c90f512f7f9ead8875b57fcb1ec3</Application>
  <Pages>2</Pages>
  <Words>372</Words>
  <Characters>2040</Characters>
  <CharactersWithSpaces>2396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2020-07-04T08:48:18Z</dcterms:modified>
  <cp:revision>10</cp:revision>
  <dc:subject/>
  <dc:title/>
</cp:coreProperties>
</file>