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F5496"/>
          <w:sz w:val="44"/>
          <w:szCs w:val="44"/>
        </w:rPr>
        <w:t xml:space="preserve">Student Emotion Detection System</w:t>
      </w:r>
    </w:p>
    <w:p>
      <w:pPr>
        <w:spacing w:after="400"/>
        <w:jc w:val="center"/>
      </w:pPr>
      <w:r>
        <w:rPr>
          <w:i/>
          <w:iCs/>
          <w:color w:val="555555"/>
          <w:sz w:val="26"/>
          <w:szCs w:val="26"/>
        </w:rPr>
        <w:t xml:space="preserve">Multi-Model Emotion Classification with AI-Powered Learning Guidance</w:t>
      </w:r>
    </w:p>
    <w:p>
      <w:pPr>
        <w:spacing w:after="600"/>
        <w:jc w:val="center"/>
      </w:pPr>
      <w:r>
        <w:rPr>
          <w:b/>
          <w:bCs/>
          <w:sz w:val="22"/>
          <w:szCs w:val="22"/>
        </w:rPr>
        <w:t xml:space="preserve">Project Documentation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  <w:jc w:val="both"/>
      </w:pPr>
      <w:r>
        <w:t xml:space="preserve">This project builds a system that detects a student's emotional state from free-text input — Bored, Confident, Confused, Curious, or Frustrated — and uses that detection to provide personalized, AI-generated learning guidance. The system combines two independently trained classification models (a BiLSTM neural network and a fine-tuned BERT transformer), a keyword-based enhancement layer, mixed-emotion detection, and an AI response engine with automatic fallback across four providers (Gemini, OpenRouter, DeepSeek, Grok).</w:t>
      </w:r>
    </w:p>
    <w:p>
      <w:pPr>
        <w:spacing w:after="120"/>
        <w:jc w:val="both"/>
      </w:pPr>
      <w:r>
        <w:t xml:space="preserve">The final deliverable is an interactive Streamlit web application where a student selects their field of study, describes a problem or challenge, and receives: (1) a real-time emotion prediction from both models, (2) a personalized AI-generated response acknowledging their emotional state and offering field-specific guidance, and (3) an analytics dashboard tracking emotional patterns across the session.</w:t>
      </w:r>
    </w:p>
    <w:p>
      <w:pPr>
        <w:pStyle w:val="Heading2"/>
        <w:spacing w:after="100" w:before="200"/>
      </w:pPr>
      <w:r>
        <w:t xml:space="preserve">1.1 Target Emotion Classes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Emotion</w:t>
            </w:r>
          </w:p>
        </w:tc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Example Trigger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Bored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Disengaged, already knows the material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"I already know this, can we move faster"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Confident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Understands the material well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"I totally understand this topic now"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Confused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Does not understand a concept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"Wait, how did we get this answer?"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Curious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Wants to explore further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"Why does this formula work like that?"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Frustrated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Stuck, repeated failed attempts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"Why does this keep failing no matter what I try?"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2. Data Sourcing &amp; Preprocessing</w:t>
      </w:r>
    </w:p>
    <w:p>
      <w:pPr>
        <w:pStyle w:val="Heading2"/>
        <w:spacing w:after="100" w:before="200"/>
      </w:pPr>
      <w:r>
        <w:t xml:space="preserve">2.1 Source Datasets</w:t>
      </w:r>
    </w:p>
    <w:p>
      <w:pPr>
        <w:spacing w:after="120"/>
        <w:jc w:val="both"/>
      </w:pPr>
      <w:r>
        <w:t xml:space="preserve">Since no public dataset exists with the exact five target classes, three real-world emotion datasets were combined and their labels mapped onto the target taxonomy: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GoEmotions (Google, 27 emotion labels, ~172,000 usable single-label rows) — contributed direct matches for "confusion" → Confused and "curiosity" → Curious.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EmpatheticDialogues (Facebook AI, ~64,000 rows) — contributed a direct match for "confident" → Confident.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ISEAR (~7,000 rows, 4 emotions) — contributed "anger" → Frustrated.</w:t>
      </w:r>
    </w:p>
    <w:p>
      <w:pPr>
        <w:pStyle w:val="Heading2"/>
        <w:spacing w:after="100" w:before="200"/>
      </w:pPr>
      <w:r>
        <w:t xml:space="preserve">2.2 The Missing Class: Bored</w:t>
      </w:r>
    </w:p>
    <w:p>
      <w:pPr>
        <w:spacing w:after="120"/>
        <w:jc w:val="both"/>
      </w:pPr>
      <w:r>
        <w:t xml:space="preserve">None of the three source datasets contain a boredom label. This gap was identified early and addressed with synthetically generated training examples (template-based sentences describing classroom disengagement), acknowledged throughout the project as a genuine limitation compared to organically sourced data for the other four classes.</w:t>
      </w:r>
    </w:p>
    <w:p>
      <w:pPr>
        <w:pStyle w:val="Heading2"/>
        <w:spacing w:after="100" w:before="200"/>
      </w:pPr>
      <w:r>
        <w:t xml:space="preserve">2.3 Label Mapping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Row Count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Frustrated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21,799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GoEmotions + ISEAR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Curious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5,885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GoEmotions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Confused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4,938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GoEmotions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Bored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3,000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Synthetic (generated)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Confident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2,037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EmpatheticDialogues</w:t>
            </w:r>
          </w:p>
        </w:tc>
      </w:tr>
    </w:tbl>
    <w:p>
      <w:pPr>
        <w:spacing w:after="150"/>
      </w:pPr>
    </w:p>
    <w:p>
      <w:pPr>
        <w:spacing w:after="120"/>
        <w:jc w:val="both"/>
      </w:pPr>
      <w:r>
        <w:t xml:space="preserve">Note the significant class imbalance (Frustrated is ~10x larger than Confident) — this was handled during training using computed class weights and focal loss.</w:t>
      </w:r>
    </w:p>
    <w:p>
      <w:pPr>
        <w:pStyle w:val="Heading2"/>
        <w:spacing w:after="100" w:before="200"/>
      </w:pPr>
      <w:r>
        <w:t xml:space="preserve">2.4 Text Cleaning &amp; Tokenization</w:t>
      </w:r>
    </w:p>
    <w:p>
      <w:pPr>
        <w:spacing w:after="120"/>
        <w:jc w:val="both"/>
      </w:pPr>
      <w:r>
        <w:t xml:space="preserve">Raw text was lowercased, stripped of URLs, and reduced to alphabetic tokens with English stopwords removed (NLTK). A Keras Tokenizer with a 30,000-word vocabulary was fit on the cleaned corpus, and all sequences were padded/truncated to a fixed length of 80 tokens for BiLSTM input. A separate keyword-enhancement module preserves emotion-carrying punctuation and explicit trigger words (e.g. "frustrating", "confusing") for a later probability-boosting layer.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Model Development</w:t>
      </w:r>
    </w:p>
    <w:p>
      <w:pPr>
        <w:pStyle w:val="Heading2"/>
        <w:spacing w:after="100" w:before="200"/>
      </w:pPr>
      <w:r>
        <w:t xml:space="preserve">3.1 BiLSTM Model</w:t>
      </w:r>
    </w:p>
    <w:p>
      <w:pPr>
        <w:spacing w:after="120"/>
        <w:jc w:val="both"/>
      </w:pPr>
      <w:r>
        <w:t xml:space="preserve">A Bidirectional LSTM was trained from scratch: a 128-dimensional embedding layer (with mask_zero=True to ignore padding) feeding into a 128-unit BiLSTM, followed by dense layers and a 5-class softmax output (~4.7 million parameters total). Training used Focal Loss (gamma=2.0) combined with computed class weights to address the imbalance identified in Section 2.3, plus early stopping and learning-rate reduction on plateau.</w:t>
      </w:r>
    </w:p>
    <w:p>
      <w:pPr>
        <w:pStyle w:val="Heading2"/>
        <w:spacing w:after="100" w:before="200"/>
      </w:pPr>
      <w:r>
        <w:t xml:space="preserve">3.2 BERT Model</w:t>
      </w:r>
    </w:p>
    <w:p>
      <w:pPr>
        <w:spacing w:after="120"/>
        <w:jc w:val="both"/>
      </w:pPr>
      <w:r>
        <w:t xml:space="preserve">bert-base-uncased was fine-tuned for 3 epochs using AdamW (learning rate 2×10⁻⁵) on the same combined dataset, achieving 85% overall test accuracy — a genuine, verified improvement over the BiLSTM's 74.7%, with the largest gains on the previously weak Curious (+18 F1 points) and Confused (+8 F1 points) classes.</w:t>
      </w:r>
    </w:p>
    <w:p>
      <w:pPr>
        <w:pStyle w:val="Heading2"/>
        <w:spacing w:after="100" w:before="200"/>
      </w:pPr>
      <w:r>
        <w:t xml:space="preserve">3.3 Domain-Adaptive Fine-Tuning</w:t>
      </w:r>
    </w:p>
    <w:p>
      <w:pPr>
        <w:spacing w:after="120"/>
        <w:jc w:val="both"/>
      </w:pPr>
      <w:r>
        <w:t xml:space="preserve">Both trained models were further fine-tuned on synthetically generated student/academic-context sentences (10,000 samples across the 5 classes) to adapt their vocabulary from general Reddit/dialogue text toward classroom language. This was validated with hand-written test sentences never seen during training — BERT correctly classified 4 of 4 novel sentences after adaptation, up from 1 of 4 before adaptation, including correctly resolving an initially-missed pattern ("I already know this, can we move faster" → Bored) after expanding the training templates.</w:t>
      </w:r>
    </w:p>
    <w:p>
      <w:pPr>
        <w:pStyle w:val="Heading2"/>
        <w:spacing w:after="100" w:before="200"/>
      </w:pPr>
      <w:r>
        <w:t xml:space="preserve">3.4 Honest Evaluation Notes</w:t>
      </w:r>
    </w:p>
    <w:p>
      <w:pPr>
        <w:spacing w:after="120"/>
        <w:jc w:val="both"/>
      </w:pPr>
      <w:r>
        <w:t xml:space="preserve">Several validation checks during development returned 100% accuracy on synthetic validation splits. This was identified as memorization of repeated sentence templates rather than genuine generalization, and is documented here rather than reported as a headline result. Real-world performance is better represented by the hand-written novel-sentence tests described in Section 3.3 and the held-out test-set accuracy in Section 3.2.</w:t>
      </w:r>
    </w:p>
    <w:p>
      <w:pPr>
        <w:pStyle w:val="Heading2"/>
        <w:spacing w:after="100" w:before="200"/>
      </w:pPr>
      <w:r>
        <w:t xml:space="preserve">3.5 Model Comparison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BiLSTM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BERT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Overall Accuracy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74.7%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85.0%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Bored F1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Confident F1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0.91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0.99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Confused F1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0.46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0.54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Curious F1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0.50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0.68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Frustrated F1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0.85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0.93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Application Architecture</w:t>
      </w:r>
    </w:p>
    <w:p>
      <w:pPr>
        <w:pStyle w:val="Heading2"/>
        <w:spacing w:after="100" w:before="200"/>
      </w:pPr>
      <w:r>
        <w:t xml:space="preserve">4.1 Prediction Pipeline</w:t>
      </w:r>
    </w:p>
    <w:p>
      <w:pPr>
        <w:spacing w:after="120"/>
        <w:jc w:val="both"/>
      </w:pPr>
      <w:r>
        <w:t xml:space="preserve">Both models expose a unified prediction schema — {emotion, confidence, scores, cleaned_text} — enforced by a shared validation module, allowing the application layer to treat BiLSTM and BERT interchangeably. A keyword-enhancement layer boosts raw model probabilities when explicit emotion-indicating words appear in the input, then renormalizes. A mixed-emotion detector flags any secondary emotion scoring above a 15% threshold, allowing the UI to display combined states (e.g. "Curious + Confused") instead of forcing a single label.</w:t>
      </w:r>
    </w:p>
    <w:p>
      <w:pPr>
        <w:pStyle w:val="Heading2"/>
        <w:spacing w:after="100" w:before="200"/>
      </w:pPr>
      <w:r>
        <w:t xml:space="preserve">4.2 AI-Powered Guidance Engine</w:t>
      </w:r>
    </w:p>
    <w:p>
      <w:pPr>
        <w:spacing w:after="120"/>
        <w:jc w:val="both"/>
      </w:pPr>
      <w:r>
        <w:t xml:space="preserve">Detected emotion, confidence, subject field, and the student's problem description are assembled into a structured prompt requesting acknowledgment, one field-specific tip, and an encouraging next step. The system attempts four AI providers in sequence — Gemini, OpenRouter, DeepSeek, and Grok — using whichever succeeds first, and falls back to a predefined template response (with emoji and suggested action) if all four are unavailable or the user disables AI generation entirely.</w:t>
      </w:r>
    </w:p>
    <w:p>
      <w:pPr>
        <w:pStyle w:val="Heading2"/>
        <w:spacing w:after="100" w:before="200"/>
      </w:pPr>
      <w:r>
        <w:t xml:space="preserve">4.3 Streamlit Interface</w:t>
      </w:r>
    </w:p>
    <w:p>
      <w:pPr>
        <w:spacing w:after="120"/>
        <w:jc w:val="both"/>
      </w:pPr>
      <w:r>
        <w:t xml:space="preserve">The application provides: a field-selection dropdown (11 academic subjects) with quick-example buttons; a settings panel toggling AI responses, CSV logging, and detail visibility; side-by-side BiLSTM vs. BERT comparison with per-class confidence bars; an expandable analysis-details panel; and a three-tab analytics dashboard (Emotions, Fields, Summary) built with interactive Plotly charts, including an emotion-distribution pie chart and a confidence-over-time "Emotional Journey" line chart.</w:t>
      </w:r>
    </w:p>
    <w:p>
      <w:pPr>
        <w:pStyle w:val="Heading2"/>
        <w:spacing w:after="100" w:before="200"/>
      </w:pPr>
      <w:r>
        <w:t xml:space="preserve">4.4 Persistence</w:t>
      </w:r>
    </w:p>
    <w:p>
      <w:pPr>
        <w:spacing w:after="120"/>
        <w:jc w:val="both"/>
      </w:pPr>
      <w:r>
        <w:t xml:space="preserve">Every interaction is appended to emotion_response_examples.csv (text, emotion, confidence, response, field, timestamp), and emotion_response_mapping.csv is updated with any newly encountered emotion-response pair. Models are loaded once via Streamlit's cache_resource decorator and reused across the session for consistent response times.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Deployment, Environment &amp; Conclusion</w:t>
      </w:r>
    </w:p>
    <w:p>
      <w:pPr>
        <w:pStyle w:val="Heading2"/>
        <w:spacing w:after="100" w:before="200"/>
      </w:pPr>
      <w:r>
        <w:t xml:space="preserve">5.1 Environment Setup</w:t>
      </w:r>
    </w:p>
    <w:p>
      <w:pPr>
        <w:spacing w:after="120"/>
        <w:jc w:val="both"/>
      </w:pPr>
      <w:r>
        <w:t xml:space="preserve">Training was performed on Kaggle's dual-GPU environment. Local deployment required resolving a Windows-specific constraint: TensorFlow dropped native Windows GPU support after version 2.11, while PyTorch retains full Windows CUDA support. The final local environment runs Python 3.11 with TensorFlow 2.20.0 / Keras 3.13.2 (matching the Kaggle training environment exactly) alongside PyTorch 2.5.1 with CUDA 12.1, verified functional on an NVIDIA RTX 3050.</w:t>
      </w:r>
    </w:p>
    <w:p>
      <w:pPr>
        <w:pStyle w:val="Heading2"/>
        <w:spacing w:after="100" w:before="200"/>
      </w:pPr>
      <w:r>
        <w:t xml:space="preserve">5.2 Key Technical Challenges Resolved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Keras version mismatch between Kaggle (3.13.2) and local Python 3.10 — resolved by upgrading to a dedicated Python 3.11 virtual environment.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Windows DLL load failures in TensorFlow — resolved via Microsoft Visual C++ Redistributable installation and import-order adjustment.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double-softmax bug in the BiLSTM prediction pipeline that flattened confidence scores toward uniform — identified and removed.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provider quota exhaustion — resolved with a 4-provider automatic fallback chain.</w:t>
      </w:r>
    </w:p>
    <w:p>
      <w:pPr>
        <w:pStyle w:val="Heading2"/>
        <w:spacing w:after="100" w:before="200"/>
      </w:pPr>
      <w:r>
        <w:t xml:space="preserve">5.3 Reproducibility</w:t>
      </w:r>
    </w:p>
    <w:p>
      <w:pPr>
        <w:spacing w:after="120"/>
        <w:jc w:val="both"/>
      </w:pPr>
      <w:r>
        <w:t xml:space="preserve">A pinned requirements.txt (matching exact package versions confirmed working, including tensorflow==2.20.0, keras==3.13.2, torch==2.5.1 with the CUDA 12.1 wheel index, transformers==4.35.2, streamlit==1.59.1, and the openai/google-generativeai clients for the AI fallback chain) enables the environment to be rebuilt from scratch in a fresh virtual environment.</w:t>
      </w:r>
    </w:p>
    <w:p>
      <w:pPr>
        <w:pStyle w:val="Heading2"/>
        <w:spacing w:after="100" w:before="200"/>
      </w:pPr>
      <w:r>
        <w:t xml:space="preserve">5.4 Conclusion</w:t>
      </w:r>
    </w:p>
    <w:p>
      <w:pPr>
        <w:spacing w:after="120"/>
        <w:jc w:val="both"/>
      </w:pPr>
      <w:r>
        <w:t xml:space="preserve">The completed system demonstrates an end-to-end emotion-aware learning assistant: from raw dataset sourcing and label-mapping across three mismatched taxonomies, through dual-model training with class-imbalance handling, domain adaptation validated on genuinely novel sentences, to a deployed interactive application with AI-generated guidance, persistent logging, and analytics. Known limitations — synthetic data for the Bored class, imperfect generalization on informal/short-form student phrasing, and reliance on template-generated (rather than organically collected) domain-adaptation data — are documented rather than obscured, consistent with the honest evaluation practice maintained throughout development.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2026-07-14T08:06:54.716Z</dcterms:created>
  <dcterms:modified xsi:type="dcterms:W3CDTF">2026-07-14T08:06:54.732Z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