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338D"/>
          <w:sz w:val="48"/>
        </w:rPr>
        <w:t>KPMG Atlas Technical Architecture Guide</w:t>
      </w:r>
    </w:p>
    <w:p>
      <w:pPr>
        <w:spacing w:before="0" w:after="400"/>
        <w:jc w:val="center"/>
      </w:pPr>
      <w:r>
        <w:rPr>
          <w:rFonts w:ascii="Arial" w:hAnsi="Arial"/>
          <w:color w:val="666666"/>
          <w:sz w:val="26"/>
        </w:rPr>
        <w:t>How Raw REST API Data is Converted into Vector SVG Charts &amp; Schema.org JSON-LD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00338D"/>
                <w:sz w:val="21"/>
              </w:rPr>
              <w:t>Prepared for Team Presentation &amp; Stakeholder Onboarding</w:t>
              <w:br/>
            </w:r>
            <w:r>
              <w:rPr>
                <w:color w:val="262527"/>
                <w:sz w:val="19"/>
              </w:rPr>
              <w:t>Technologies: Vanilla JavaScript (ES6+), React 19, SVG Geometry Engine, Schema.org Dataset Standard, Node.js API Sync, AEM CMS Embed Architecture.</w:t>
            </w:r>
          </w:p>
        </w:tc>
      </w:tr>
    </w:tbl>
    <w:p/>
    <w:p>
      <w:pPr>
        <w:pStyle w:val="Heading1"/>
      </w:pPr>
      <w:r>
        <w:t>1. Executive Summary &amp; Problem Statement</w:t>
      </w:r>
    </w:p>
    <w:p>
      <w:r>
        <w:rPr>
          <w:sz w:val="22"/>
        </w:rPr>
        <w:t xml:space="preserve">Enterprise Content Management Systems such as </w:t>
      </w:r>
      <w:r>
        <w:rPr>
          <w:b/>
          <w:sz w:val="22"/>
        </w:rPr>
        <w:t>Adobe Experience Manager (AEM)</w:t>
      </w:r>
      <w:r>
        <w:rPr>
          <w:sz w:val="22"/>
        </w:rPr>
        <w:t xml:space="preserve"> often struggle when integrating heavy JavaScript charting libraries (like D3.js, Chart.js, Highcharts, or Plotly). These libraries present critical issues:</w:t>
        <w:br/>
      </w:r>
    </w:p>
    <w:p>
      <w:pPr>
        <w:pStyle w:val="ListBullet"/>
        <w:spacing w:after="60"/>
      </w:pPr>
      <w:r>
        <w:rPr>
          <w:b/>
          <w:color w:val="262527"/>
          <w:sz w:val="21"/>
        </w:rPr>
        <w:t xml:space="preserve">Heavy Script Overhead: </w:t>
      </w:r>
      <w:r>
        <w:rPr>
          <w:sz w:val="21"/>
        </w:rPr>
        <w:t>Libraries add 300KB to 1MB of runtime JavaScript per page, degrading Core Web Vitals (INP, LCP, TBT).</w:t>
      </w:r>
    </w:p>
    <w:p>
      <w:pPr>
        <w:pStyle w:val="ListBullet"/>
        <w:spacing w:after="60"/>
      </w:pPr>
      <w:r>
        <w:rPr>
          <w:b/>
          <w:color w:val="262527"/>
          <w:sz w:val="21"/>
        </w:rPr>
        <w:t xml:space="preserve">SEO Invisibility: </w:t>
      </w:r>
      <w:r>
        <w:rPr>
          <w:sz w:val="21"/>
        </w:rPr>
        <w:t>Standard Canvas-based charts render pixels, making financial statistics invisible to search engine web crawlers and AI bots (Googlebot, Bingbot, LLMs).</w:t>
      </w:r>
    </w:p>
    <w:p>
      <w:pPr>
        <w:pStyle w:val="ListBullet"/>
        <w:spacing w:after="60"/>
      </w:pPr>
      <w:r>
        <w:rPr>
          <w:b/>
          <w:color w:val="262527"/>
          <w:sz w:val="21"/>
        </w:rPr>
        <w:t xml:space="preserve">AEM Embedding Complexity: </w:t>
      </w:r>
      <w:r>
        <w:rPr>
          <w:sz w:val="21"/>
        </w:rPr>
        <w:t>External dependencies clash with clientlibs, CSP headers, and version mismatches.</w:t>
      </w:r>
    </w:p>
    <w:p>
      <w:pPr>
        <w:pStyle w:val="ListBullet"/>
        <w:spacing w:after="60"/>
      </w:pPr>
      <w:r>
        <w:rPr>
          <w:b/>
          <w:color w:val="262527"/>
          <w:sz w:val="21"/>
        </w:rPr>
        <w:t xml:space="preserve">CORS Restrictions: </w:t>
      </w:r>
      <w:r>
        <w:rPr>
          <w:sz w:val="21"/>
        </w:rPr>
        <w:t>KPMG back-end OutSystems APIs often do not serve permissive CORS headers for client-side browser fetch.</w:t>
      </w:r>
    </w:p>
    <w:p>
      <w:pPr>
        <w:spacing w:before="160"/>
      </w:pPr>
      <w:r>
        <w:rPr>
          <w:b/>
          <w:color w:val="00338D"/>
          <w:sz w:val="22"/>
        </w:rPr>
        <w:t xml:space="preserve">The Solution Built: </w:t>
      </w:r>
      <w:r>
        <w:rPr>
          <w:sz w:val="22"/>
        </w:rPr>
        <w:t>A completely zero-dependency, pure mathematical SVG generation engine paired with automatic Schema.org JSON-LD metadata generation. Every chart is delivered as a 100% self-contained snippet ready to drop into an AEM Custom HTML component without any external libraries.</w:t>
      </w:r>
    </w:p>
    <w:p>
      <w:pPr>
        <w:pStyle w:val="Heading1"/>
      </w:pPr>
      <w:r>
        <w:t>2. The 5-Step End-to-End Pipeline</w:t>
      </w:r>
    </w:p>
    <w:p>
      <w:pPr>
        <w:spacing w:before="160" w:after="40"/>
      </w:pPr>
      <w:r>
        <w:rPr>
          <w:b/>
          <w:color w:val="00338D"/>
          <w:sz w:val="24"/>
        </w:rPr>
        <w:t>Step 1: REST API Sync (Node.js Engine)</w:t>
      </w:r>
    </w:p>
    <w:p>
      <w:pPr>
        <w:spacing w:after="120"/>
      </w:pPr>
      <w:r>
        <w:rPr>
          <w:sz w:val="21"/>
        </w:rPr>
        <w:t>Because corporate KPMG endpoints enforce strict CORS, browsers reject direct fetch(). We implemented sync.js using Node.js native https module to request all 11 endpoints (WACC_Values, MRP_BZ, BZ_CreditSpread, Multiples_Values, LRP_AverageOverTime, etc.). This data is normalized and stored into a cached kpmg_all_data.json database.</w:t>
      </w:r>
    </w:p>
    <w:p>
      <w:pPr>
        <w:spacing w:before="160" w:after="40"/>
      </w:pPr>
      <w:r>
        <w:rPr>
          <w:b/>
          <w:color w:val="00338D"/>
          <w:sz w:val="24"/>
        </w:rPr>
        <w:t>Step 2: Mathematical Coordinate Transformation</w:t>
      </w:r>
    </w:p>
    <w:p>
      <w:pPr>
        <w:spacing w:after="120"/>
      </w:pPr>
      <w:r>
        <w:rPr>
          <w:sz w:val="21"/>
        </w:rPr>
        <w:t>Raw data values (e.g. WACC median 8.82%, Tenures 1-30 years, Multiples 14.5x) are mapped directly to 2D pixel coordinates (X, Y) inside an SVG viewport using linear interpolation formulas:</w:t>
        <w:br/>
        <w:t>• scaleX(v) = paddingLeft + ((v - minX) / (maxX - minX)) * chartWidth</w:t>
        <w:br/>
        <w:t>• scaleY(v) = paddingTop + chartHeight - ((v - minY) / (maxY - minY)) * chartHeight</w:t>
        <w:br/>
        <w:t>No 3rd-party charting engine is used; pixels are plotted with raw math.</w:t>
      </w:r>
    </w:p>
    <w:p>
      <w:pPr>
        <w:spacing w:before="160" w:after="40"/>
      </w:pPr>
      <w:r>
        <w:rPr>
          <w:b/>
          <w:color w:val="00338D"/>
          <w:sz w:val="24"/>
        </w:rPr>
        <w:t>Step 3: Vector Graphic Assembly (SVG DOM)</w:t>
      </w:r>
    </w:p>
    <w:p>
      <w:pPr>
        <w:spacing w:after="120"/>
      </w:pPr>
      <w:r>
        <w:rPr>
          <w:sz w:val="21"/>
        </w:rPr>
        <w:t>The engine generates pure SVG XML strings:</w:t>
        <w:br/>
        <w:t>• Area Bands: Built via SVG &lt;path d="M... upper pts... L... lower pts reverse... Z" /&gt; with fill-opacity.</w:t>
        <w:br/>
        <w:t>• Trend Lines: Continuous polyline or cubic bezier path segments with KPMG brand stroke-width.</w:t>
        <w:br/>
        <w:t>• Horizontal Dual Range Bars: SVG &lt;rect&gt; elements showing [Lower, Upper] ranges for EBIT (Cyan #00b8f5) &amp; EBITDA (Navy #00338D).</w:t>
        <w:br/>
        <w:t>• Step Curves: Exact horizontal &amp; vertical stepped lines for yield curve maturities.</w:t>
        <w:br/>
        <w:t>• Grid &amp; Axes: Dynamic tick marks, percentages, and labels formatted to IDW standards.</w:t>
      </w:r>
    </w:p>
    <w:p>
      <w:pPr>
        <w:spacing w:before="160" w:after="40"/>
      </w:pPr>
      <w:r>
        <w:rPr>
          <w:b/>
          <w:color w:val="00338D"/>
          <w:sz w:val="24"/>
        </w:rPr>
        <w:t>Step 4: Schema.org JSON-LD Semantic Dataset Generation</w:t>
      </w:r>
    </w:p>
    <w:p>
      <w:pPr>
        <w:spacing w:after="120"/>
      </w:pPr>
      <w:r>
        <w:rPr>
          <w:sz w:val="21"/>
        </w:rPr>
        <w:t>Simultaneously, the engine parses every row of the active dataset and serializes it into a valid W3C Schema.org &lt;script type="application/ld+json"&gt; block. Googlebot indexes this structured metadata for Google Dataset Search and AI search overviews.</w:t>
      </w:r>
    </w:p>
    <w:p>
      <w:pPr>
        <w:spacing w:before="160" w:after="40"/>
      </w:pPr>
      <w:r>
        <w:rPr>
          <w:b/>
          <w:color w:val="00338D"/>
          <w:sz w:val="24"/>
        </w:rPr>
        <w:t>Step 5: Self-Contained AEM Snippet Packaging</w:t>
      </w:r>
    </w:p>
    <w:p>
      <w:pPr>
        <w:spacing w:after="120"/>
      </w:pPr>
      <w:r>
        <w:rPr>
          <w:sz w:val="21"/>
        </w:rPr>
        <w:t>The output is wrapped inside a single container &lt;div class="kpmg-atlas-chart-container"&gt; containing inline SVG, scoped micro-styles, self-contained tooltip event listeners, and the JSON-LD script. Authors copy one block and paste directly into AEM.</w:t>
      </w:r>
    </w:p>
    <w:p>
      <w:pPr>
        <w:pStyle w:val="Heading1"/>
      </w:pPr>
      <w:r>
        <w:t>3. Deep-Dive: Mathematical Vector Transformation</w:t>
      </w:r>
    </w:p>
    <w:p>
      <w:r>
        <w:rPr>
          <w:sz w:val="22"/>
        </w:rPr>
        <w:t>Here is the exact algorithmic breakdown of how an API JSON object turns into vector shapes: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8"/>
              </w:rPr>
              <w:t>// 1. Raw API Response Sample:</w:t>
              <w:br/>
              <w:t>[ { "Date_Data": "2026-09-30", "WACC_Lower": 0.0696, "WACC_Median": 0.0811, "WACC_Upper": 0.0956 } ]</w:t>
              <w:br/>
              <w:br/>
              <w:t>// 2. Linear Scaling Function:</w:t>
              <w:br/>
              <w:t>const scaleY = (v) =&gt; pT + cH - ((v - minY) / (maxY - minY)) * cH;</w:t>
              <w:br/>
              <w:t>const scaleX = (idx) =&gt; pL + (idx / (totalPoints - 1)) * cW;</w:t>
              <w:br/>
              <w:br/>
              <w:t>// 3. SVG Path Construction:</w:t>
              <w:br/>
              <w:t>const upperPts = rows.map((r, i) =&gt; `${scaleX(i)},${scaleY(r.WACC_Upper)}`).join(" ");</w:t>
              <w:br/>
              <w:t>const lowerPts = rows.slice().reverse().map((r, i) =&gt; `${scaleX(len-1-i)},${scaleY(r.WACC_Lower)}`).join(" ");</w:t>
              <w:br/>
              <w:t>const bandPath = `M ${upperPts} L ${lowerPts} Z`; // Creates closed vector polygon</w:t>
              <w:br/>
              <w:t>const medianLine = rows.map((r, i) =&gt; `${i === 0 ? "M" : "L"} ${scaleX(i)} ${scaleY(r.WACC_Median)}`).join(" ");</w:t>
              <w:br/>
              <w:br/>
              <w:t>// 4. Output SVG Markup:</w:t>
              <w:br/>
              <w:t>&lt;svg viewBox="0 0 600 320"&gt;</w:t>
              <w:br/>
              <w:t xml:space="preserve">  &lt;path d="${bandPath}" fill="#00b8f5" fill-opacity="0.45" /&gt;</w:t>
              <w:br/>
              <w:t xml:space="preserve">  &lt;path d="${medianLine}" stroke="#00338D" stroke-width="2.5" fill="none" /&gt;</w:t>
              <w:br/>
              <w:t>&lt;/svg&gt;</w:t>
            </w:r>
          </w:p>
        </w:tc>
      </w:tr>
    </w:tbl>
    <w:p/>
    <w:p>
      <w:pPr>
        <w:pStyle w:val="Heading1"/>
      </w:pPr>
      <w:r>
        <w:t>4. Deep-Dive: Schema.org JSON-LD Generation</w:t>
      </w:r>
    </w:p>
    <w:p>
      <w:r>
        <w:rPr>
          <w:sz w:val="22"/>
        </w:rPr>
        <w:t xml:space="preserve">Search engines cannot read graphic lines inside images. To ensure KPMG achieves top SEO ranking, our generator turns every graph data point into an </w:t>
      </w:r>
      <w:r>
        <w:rPr>
          <w:b/>
        </w:rPr>
        <w:t>Observation entity</w:t>
      </w:r>
      <w:r>
        <w:rPr>
          <w:sz w:val="22"/>
        </w:rPr>
        <w:t xml:space="preserve"> within a Schema.org Dataset: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8"/>
              </w:rPr>
              <w:t>{</w:t>
              <w:br/>
              <w:t xml:space="preserve">  "@context": "https://schema.org",</w:t>
              <w:br/>
              <w:t xml:space="preserve">  "@type": "Dataset",</w:t>
              <w:br/>
              <w:t xml:space="preserve">  "name": "Automotive - Weighted average cost of capital over time",</w:t>
              <w:br/>
              <w:t xml:space="preserve">  "creator": { "@type": "Organization", "name": "KPMG Deal Advisory" },</w:t>
              <w:br/>
              <w:t xml:space="preserve">  "distribution": {</w:t>
              <w:br/>
              <w:t xml:space="preserve">    "@type": "DataDownload",</w:t>
              <w:br/>
              <w:t xml:space="preserve">    "encodingFormat": "application/json",</w:t>
              <w:br/>
              <w:t xml:space="preserve">    "contentUrl": "https://live.kpmg-apps.de/DPS_Freemium_API/rest/Freemium/WACC_Values"</w:t>
              <w:br/>
              <w:t xml:space="preserve">  },</w:t>
              <w:br/>
              <w:t xml:space="preserve">  "hasPart": [</w:t>
              <w:br/>
              <w:t xml:space="preserve">    {</w:t>
              <w:br/>
              <w:t xml:space="preserve">      "@type": "Observation",</w:t>
              <w:br/>
              <w:t xml:space="preserve">      "observationDate": "2026-09-30T00:00:00",</w:t>
              <w:br/>
              <w:t xml:space="preserve">      "variableMeasured": [</w:t>
              <w:br/>
              <w:t xml:space="preserve">        { "@type": "PropertyValue", "name": "Median of WACC", "value": 0.0811, "unitText": "%" },</w:t>
              <w:br/>
              <w:t xml:space="preserve">        { "@type": "PropertyValue", "name": "Lower WACC", "value": 0.0696, "unitText": "%" },</w:t>
              <w:br/>
              <w:t xml:space="preserve">        { "@type": "PropertyValue", "name": "Upper WACC", "value": 0.0956, "unitText": "%" }</w:t>
              <w:br/>
              <w:t xml:space="preserve">      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1"/>
      </w:pPr>
      <w:r>
        <w:t>5. KPMG Brand Design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8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Brand Token</w:t>
            </w:r>
          </w:p>
        </w:tc>
        <w:tc>
          <w:tcPr>
            <w:tcW w:type="dxa" w:w="3312"/>
            <w:shd w:fill="00338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Hex Code</w:t>
            </w:r>
          </w:p>
        </w:tc>
        <w:tc>
          <w:tcPr>
            <w:tcW w:type="dxa" w:w="3312"/>
            <w:shd w:fill="00338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Usage in Chart &amp; Tables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Primary Blue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9"/>
              </w:rPr>
              <w:t>#00338D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Median WACC lines, primary ranges, EBITDA bars, headers, primary buttons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Pacific Blue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9"/>
              </w:rPr>
              <w:t>#00b8f5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WACC range shaded bands, EBIT multiples bars, secondary indicators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Purple Accent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9"/>
              </w:rPr>
              <w:t>#7213ea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Total rate of return in MRP trend line, special rating badges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Pink Accent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urier New" w:hAnsi="Courier New"/>
                <w:sz w:val="19"/>
              </w:rPr>
              <w:t>#fd349c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Tenure step curve yield points, diamond glowing marker highlights</w:t>
            </w:r>
          </w:p>
        </w:tc>
      </w:tr>
    </w:tbl>
    <w:p/>
    <w:p>
      <w:pPr>
        <w:pStyle w:val="Heading1"/>
      </w:pPr>
      <w:r>
        <w:t>6. Team Presentation Cheatsheet (Quick Talking Points)</w:t>
      </w:r>
    </w:p>
    <w:p>
      <w:pPr>
        <w:spacing w:before="120" w:after="40"/>
      </w:pPr>
      <w:r>
        <w:rPr>
          <w:b/>
          <w:color w:val="00338D"/>
          <w:sz w:val="22"/>
        </w:rPr>
        <w:t>Q: Why did we avoid D3 or Chart.js?</w:t>
      </w:r>
    </w:p>
    <w:p>
      <w:pPr>
        <w:spacing w:after="120"/>
      </w:pPr>
      <w:r>
        <w:rPr>
          <w:sz w:val="21"/>
        </w:rPr>
        <w:t>A: D3 and Chart.js add 300KB+ bundle size, cause canvas rasterization blur on high-DPI screens, and cannot be read by Googlebot. Our pure SVG approach generates lightweight, razor-sharp vector graphics with 0KB extra libraries.</w:t>
      </w:r>
    </w:p>
    <w:p>
      <w:pPr>
        <w:spacing w:before="120" w:after="40"/>
      </w:pPr>
      <w:r>
        <w:rPr>
          <w:b/>
          <w:color w:val="00338D"/>
          <w:sz w:val="22"/>
        </w:rPr>
        <w:t>Q: How does AEM benefit?</w:t>
      </w:r>
    </w:p>
    <w:p>
      <w:pPr>
        <w:spacing w:after="120"/>
      </w:pPr>
      <w:r>
        <w:rPr>
          <w:sz w:val="21"/>
        </w:rPr>
        <w:t>A: Content Authors don't need a developer to deploy a release. They pick the sector &amp; chart in the Studio, hit 'Copy AEM Code', and paste into an AEM Embed Component. It works instantly and responsively.</w:t>
      </w:r>
    </w:p>
    <w:p>
      <w:pPr>
        <w:spacing w:before="120" w:after="40"/>
      </w:pPr>
      <w:r>
        <w:rPr>
          <w:b/>
          <w:color w:val="00338D"/>
          <w:sz w:val="22"/>
        </w:rPr>
        <w:t>Q: How is SEO improved?</w:t>
      </w:r>
    </w:p>
    <w:p>
      <w:pPr>
        <w:spacing w:after="120"/>
      </w:pPr>
      <w:r>
        <w:rPr>
          <w:sz w:val="21"/>
        </w:rPr>
        <w:t>A: Every copied snippet includes a structured Schema.org JSON-LD Dataset block. Googlebot parses this immediately, making KPMG Atlas content eligible for Google Dataset Search and generative AI search snippets.</w:t>
      </w:r>
    </w:p>
    <w:p>
      <w:pPr>
        <w:spacing w:before="120" w:after="40"/>
      </w:pPr>
      <w:r>
        <w:rPr>
          <w:b/>
          <w:color w:val="00338D"/>
          <w:sz w:val="22"/>
        </w:rPr>
        <w:t>Q: What are the two implementations?</w:t>
      </w:r>
    </w:p>
    <w:p>
      <w:pPr>
        <w:spacing w:after="120"/>
      </w:pPr>
      <w:r>
        <w:rPr>
          <w:sz w:val="21"/>
        </w:rPr>
        <w:t>A: 1. Vanilla JS Studio (vanilla-js/index.html): Completely standalone single file. No node_modules, runs on any machine.</w:t>
        <w:br/>
        <w:t>2. React 19 Studio (react-app/): High-speed reactive application using Vite for team workflows and component extensions.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