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6"/>
          <w:szCs w:val="36"/>
        </w:rPr>
        <w:t xml:space="preserve">Crushky Seed Memo</w:t>
      </w:r>
    </w:p>
    <w:p>
      <w:pPr>
        <w:spacing w:after="40"/>
      </w:pPr>
      <w:r>
        <w:rPr>
          <w:rFonts w:ascii="Arial" w:cs="Arial" w:eastAsia="Arial" w:hAnsi="Arial"/>
          <w:i/>
          <w:iCs/>
          <w:color w:val="444444"/>
          <w:sz w:val="18"/>
          <w:szCs w:val="18"/>
        </w:rPr>
        <w:t xml:space="preserve">Strictly Confidential  |  Pre-Seed Round</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4578"/>
      </w:tblGrid>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000000"/>
                <w:sz w:val="18"/>
                <w:szCs w:val="18"/>
              </w:rPr>
              <w:t xml:space="preserve">Founder</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000000"/>
                <w:sz w:val="18"/>
                <w:szCs w:val="18"/>
              </w:rPr>
              <w:t xml:space="preserve">Aditya Kumar</w:t>
            </w:r>
          </w:p>
        </w:tc>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000000"/>
                <w:sz w:val="18"/>
                <w:szCs w:val="18"/>
              </w:rPr>
              <w:t xml:space="preserve">Date</w:t>
            </w:r>
          </w:p>
        </w:tc>
        <w:tc>
          <w:tcPr>
            <w:tcW w:type="dxa" w:w="4578"/>
            <w:tcBorders>
              <w:top w:val="none" w:color="FFFFFF" w:sz="0"/>
              <w:left w:val="none" w:color="FFFFFF" w:sz="0"/>
              <w:bottom w:val="none" w:color="FFFFFF" w:sz="0"/>
              <w:right w:val="none" w:color="FFFFFF" w:sz="0"/>
            </w:tcBorders>
          </w:tcPr>
          <w:p>
            <w:r>
              <w:rPr>
                <w:rFonts w:ascii="Arial" w:cs="Arial" w:eastAsia="Arial" w:hAnsi="Arial"/>
                <w:color w:val="000000"/>
                <w:sz w:val="18"/>
                <w:szCs w:val="18"/>
              </w:rPr>
              <w:t xml:space="preserve">June 2026</w:t>
            </w:r>
          </w:p>
        </w:tc>
      </w:tr>
    </w:tbl>
    <w:p>
      <w:pPr>
        <w:pBdr>
          <w:bottom w:val="single" w:color="1F3864" w:sz="4" w:space="1"/>
        </w:pBdr>
        <w:spacing w:after="120"/>
      </w:pPr>
      <w:r>
        <w:t xml:space="preserve"/>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178"/>
      </w:tblGrid>
      <w:tr>
        <w:tc>
          <w:tcPr>
            <w:tcW w:type="dxa" w:w="10178"/>
            <w:tcBorders>
              <w:top w:val="none" w:color="FFFFFF" w:sz="0"/>
              <w:left w:val="none" w:color="FFFFFF" w:sz="0"/>
              <w:bottom w:val="none" w:color="FFFFFF" w:sz="0"/>
              <w:right w:val="none" w:color="FFFFFF" w:sz="0"/>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BUSINESS DESCRIPTION &amp; TEAM</w:t>
            </w:r>
          </w:p>
        </w:tc>
      </w:tr>
    </w:tbl>
    <w:p>
      <w:pPr>
        <w:spacing w:after="80"/>
      </w:pPr>
      <w:r>
        <w:t xml:space="preserve"/>
      </w:r>
    </w:p>
    <w:p>
      <w:pPr>
        <w:spacing w:after="80"/>
      </w:pPr>
      <w:r>
        <w:rPr>
          <w:rFonts w:ascii="Arial" w:cs="Arial" w:eastAsia="Arial" w:hAnsi="Arial"/>
          <w:b/>
          <w:bCs/>
          <w:color w:val="000000"/>
          <w:sz w:val="18"/>
          <w:szCs w:val="18"/>
        </w:rPr>
        <w:t xml:space="preserve">What Crushky is: </w:t>
      </w:r>
      <w:r>
        <w:rPr>
          <w:rFonts w:ascii="Arial" w:cs="Arial" w:eastAsia="Arial" w:hAnsi="Arial"/>
          <w:color w:val="000000"/>
          <w:sz w:val="18"/>
          <w:szCs w:val="18"/>
        </w:rPr>
        <w:t xml:space="preserve">Crushky is a voice-first AI matchmaking and companionship app for urban Indians aged 22–30. Instead of swiping on photos, users speak to Crushky AI — which asks deep personality and values questions — and receive curated matches based on who they actually are. The app also includes four AI companions (Luna, Aria, Nova, Maya) for daily dating advice, emotional support, and life coaching sessions.</w:t>
      </w:r>
    </w:p>
    <w:p>
      <w:pPr>
        <w:spacing w:after="80"/>
      </w:pPr>
      <w:r>
        <w:rPr>
          <w:rFonts w:ascii="Arial" w:cs="Arial" w:eastAsia="Arial" w:hAnsi="Arial"/>
          <w:b/>
          <w:bCs/>
          <w:color w:val="000000"/>
          <w:sz w:val="18"/>
          <w:szCs w:val="18"/>
        </w:rPr>
        <w:t xml:space="preserve">Why the market exists: </w:t>
      </w:r>
      <w:r>
        <w:rPr>
          <w:rFonts w:ascii="Arial" w:cs="Arial" w:eastAsia="Arial" w:hAnsi="Arial"/>
          <w:color w:val="000000"/>
          <w:sz w:val="18"/>
          <w:szCs w:val="18"/>
        </w:rPr>
        <w:t xml:space="preserve">The AI companionship category is one of the fastest-growing in consumer tech. Character.AI has </w:t>
      </w:r>
      <w:r>
        <w:rPr>
          <w:rFonts w:ascii="Arial" w:cs="Arial" w:eastAsia="Arial" w:hAnsi="Arial"/>
          <w:b/>
          <w:bCs/>
          <w:color w:val="000000"/>
          <w:sz w:val="18"/>
          <w:szCs w:val="18"/>
        </w:rPr>
        <w:t xml:space="preserve">20M daily active users</w:t>
      </w:r>
      <w:r>
        <w:rPr>
          <w:rFonts w:ascii="Arial" w:cs="Arial" w:eastAsia="Arial" w:hAnsi="Arial"/>
          <w:color w:val="000000"/>
          <w:sz w:val="18"/>
          <w:szCs w:val="18"/>
        </w:rPr>
        <w:t xml:space="preserve">. Replika has </w:t>
      </w:r>
      <w:r>
        <w:rPr>
          <w:rFonts w:ascii="Arial" w:cs="Arial" w:eastAsia="Arial" w:hAnsi="Arial"/>
          <w:b/>
          <w:bCs/>
          <w:color w:val="000000"/>
          <w:sz w:val="18"/>
          <w:szCs w:val="18"/>
        </w:rPr>
        <w:t xml:space="preserve">10M+ registered users</w:t>
      </w:r>
      <w:r>
        <w:rPr>
          <w:rFonts w:ascii="Arial" w:cs="Arial" w:eastAsia="Arial" w:hAnsi="Arial"/>
          <w:color w:val="000000"/>
          <w:sz w:val="18"/>
          <w:szCs w:val="18"/>
        </w:rPr>
        <w:t xml:space="preserve"> paying $29.99/month. The global AI companion market was </w:t>
      </w:r>
      <w:r>
        <w:rPr>
          <w:rFonts w:ascii="Arial" w:cs="Arial" w:eastAsia="Arial" w:hAnsi="Arial"/>
          <w:b/>
          <w:bCs/>
          <w:color w:val="000000"/>
          <w:sz w:val="18"/>
          <w:szCs w:val="18"/>
        </w:rPr>
        <w:t xml:space="preserve">$5.8B in 2024</w:t>
      </w:r>
      <w:r>
        <w:rPr>
          <w:rFonts w:ascii="Arial" w:cs="Arial" w:eastAsia="Arial" w:hAnsi="Arial"/>
          <w:color w:val="000000"/>
          <w:sz w:val="18"/>
          <w:szCs w:val="18"/>
        </w:rPr>
        <w:t xml:space="preserve"> and is projected to reach </w:t>
      </w:r>
      <w:r>
        <w:rPr>
          <w:rFonts w:ascii="Arial" w:cs="Arial" w:eastAsia="Arial" w:hAnsi="Arial"/>
          <w:b/>
          <w:bCs/>
          <w:color w:val="000000"/>
          <w:sz w:val="18"/>
          <w:szCs w:val="18"/>
        </w:rPr>
        <w:t xml:space="preserve">$150B by 2030</w:t>
      </w:r>
      <w:r>
        <w:rPr>
          <w:rFonts w:ascii="Arial" w:cs="Arial" w:eastAsia="Arial" w:hAnsi="Arial"/>
          <w:color w:val="000000"/>
          <w:sz w:val="18"/>
          <w:szCs w:val="18"/>
        </w:rPr>
        <w:t xml:space="preserve"> (Grand View Research). In India, </w:t>
      </w:r>
      <w:r>
        <w:rPr>
          <w:rFonts w:ascii="Arial" w:cs="Arial" w:eastAsia="Arial" w:hAnsi="Arial"/>
          <w:b/>
          <w:bCs/>
          <w:color w:val="000000"/>
          <w:sz w:val="18"/>
          <w:szCs w:val="18"/>
        </w:rPr>
        <w:t xml:space="preserve">93M urban singles aged 18–35</w:t>
      </w:r>
      <w:r>
        <w:rPr>
          <w:rFonts w:ascii="Arial" w:cs="Arial" w:eastAsia="Arial" w:hAnsi="Arial"/>
          <w:color w:val="000000"/>
          <w:sz w:val="18"/>
          <w:szCs w:val="18"/>
        </w:rPr>
        <w:t xml:space="preserve"> use dating apps — but </w:t>
      </w:r>
      <w:r>
        <w:rPr>
          <w:rFonts w:ascii="Arial" w:cs="Arial" w:eastAsia="Arial" w:hAnsi="Arial"/>
          <w:b/>
          <w:bCs/>
          <w:color w:val="000000"/>
          <w:sz w:val="18"/>
          <w:szCs w:val="18"/>
        </w:rPr>
        <w:t xml:space="preserve">67% report exhaustion from swipe-based matching</w:t>
      </w:r>
      <w:r>
        <w:rPr>
          <w:rFonts w:ascii="Arial" w:cs="Arial" w:eastAsia="Arial" w:hAnsi="Arial"/>
          <w:color w:val="000000"/>
          <w:sz w:val="18"/>
          <w:szCs w:val="18"/>
        </w:rPr>
        <w:t xml:space="preserve"> (Bumble India research, 2024). </w:t>
      </w:r>
      <w:r>
        <w:rPr>
          <w:rFonts w:ascii="Arial" w:cs="Arial" w:eastAsia="Arial" w:hAnsi="Arial"/>
          <w:b/>
          <w:bCs/>
          <w:color w:val="000000"/>
          <w:sz w:val="18"/>
          <w:szCs w:val="18"/>
        </w:rPr>
        <w:t xml:space="preserve">There is no voice-first AI dating product in India.</w:t>
      </w:r>
      <w:r>
        <w:rPr>
          <w:rFonts w:ascii="Arial" w:cs="Arial" w:eastAsia="Arial" w:hAnsi="Arial"/>
          <w:color w:val="000000"/>
          <w:sz w:val="18"/>
          <w:szCs w:val="18"/>
        </w:rPr>
        <w:t xml:space="preserve"> Gen Z loneliness is peaking: WHO declared loneliness a global health crisis in 2023. 73% of Gen Z users say they are comfortable talking to AI for emotional support (Microsoft, 2024).</w:t>
      </w:r>
    </w:p>
    <w:p>
      <w:pPr>
        <w:spacing w:after="80"/>
      </w:pPr>
      <w:r>
        <w:rPr>
          <w:rFonts w:ascii="Arial" w:cs="Arial" w:eastAsia="Arial" w:hAnsi="Arial"/>
          <w:b/>
          <w:bCs/>
          <w:color w:val="000000"/>
          <w:sz w:val="18"/>
          <w:szCs w:val="18"/>
        </w:rPr>
        <w:t xml:space="preserve">Traction &amp; MVP: </w:t>
      </w:r>
      <w:r>
        <w:rPr>
          <w:rFonts w:ascii="Arial" w:cs="Arial" w:eastAsia="Arial" w:hAnsi="Arial"/>
          <w:color w:val="000000"/>
          <w:sz w:val="18"/>
          <w:szCs w:val="18"/>
        </w:rPr>
        <w:t xml:space="preserve">MVP is live at </w:t>
      </w:r>
      <w:hyperlink w:history="1" r:id="rIdsdso6br9k_j4slcddffn8">
        <w:r>
          <w:rPr>
            <w:rStyle w:val="Hyperlink"/>
            <w:rFonts w:ascii="Arial" w:cs="Arial" w:eastAsia="Arial" w:hAnsi="Arial"/>
            <w:sz w:val="18"/>
            <w:szCs w:val="18"/>
          </w:rPr>
          <w:t xml:space="preserve">crushky.vercel.app</w:t>
        </w:r>
      </w:hyperlink>
      <w:r>
        <w:rPr>
          <w:rFonts w:ascii="Arial" w:cs="Arial" w:eastAsia="Arial" w:hAnsi="Arial"/>
          <w:color w:val="000000"/>
          <w:sz w:val="18"/>
          <w:szCs w:val="18"/>
        </w:rPr>
        <w:t xml:space="preserve">. Built entirely by the founder in ~2 weeks: 4-step onboarding, AI voice matchmaking conversation with real-time match reveals, AI-generated compatibility reports ('Why You Match' narrative), and 4 AI companions with full voice-feel chat. Claude API integrated and live. Pre-revenue; real user validation is the next 60-day priority.</w:t>
      </w:r>
    </w:p>
    <w:p>
      <w:pPr>
        <w:spacing w:after="80"/>
      </w:pPr>
      <w:r>
        <w:rPr>
          <w:rFonts w:ascii="Arial" w:cs="Arial" w:eastAsia="Arial" w:hAnsi="Arial"/>
          <w:b/>
          <w:bCs/>
          <w:color w:val="000000"/>
          <w:sz w:val="18"/>
          <w:szCs w:val="18"/>
        </w:rPr>
        <w:t xml:space="preserve">Team: </w:t>
      </w:r>
      <w:r>
        <w:rPr>
          <w:rFonts w:ascii="Arial" w:cs="Arial" w:eastAsia="Arial" w:hAnsi="Arial"/>
          <w:color w:val="000000"/>
          <w:sz w:val="18"/>
          <w:szCs w:val="18"/>
        </w:rPr>
        <w:t xml:space="preserve">Aditya Kumar (Founder &amp; CEO) — currently at the founder's office of Teachmint, one of India's top edtech startups. Built the entire MVP solo (product + code). [CTO Name] and [COO Name] — both currently employed, committed to join full-time post-funding as co-founders.</w:t>
      </w:r>
    </w:p>
    <w:p>
      <w:pPr>
        <w:spacing w:after="60"/>
      </w:pPr>
      <w:r>
        <w:t xml:space="preserve"/>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178"/>
      </w:tblGrid>
      <w:tr>
        <w:tc>
          <w:tcPr>
            <w:tcW w:type="dxa" w:w="10178"/>
            <w:tcBorders>
              <w:top w:val="none" w:color="FFFFFF" w:sz="0"/>
              <w:left w:val="none" w:color="FFFFFF" w:sz="0"/>
              <w:bottom w:val="none" w:color="FFFFFF" w:sz="0"/>
              <w:right w:val="none" w:color="FFFFFF" w:sz="0"/>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FINANCING</w:t>
            </w:r>
          </w:p>
        </w:tc>
      </w:tr>
    </w:tbl>
    <w:p>
      <w:pPr>
        <w:spacing w:after="80"/>
      </w:pPr>
      <w:r>
        <w:t xml:space="preserve"/>
      </w:r>
    </w:p>
    <w:p>
      <w:pPr>
        <w:spacing w:after="80"/>
      </w:pPr>
      <w:r>
        <w:rPr>
          <w:rFonts w:ascii="Arial" w:cs="Arial" w:eastAsia="Arial" w:hAnsi="Arial"/>
          <w:color w:val="000000"/>
          <w:sz w:val="18"/>
          <w:szCs w:val="18"/>
        </w:rPr>
        <w:t xml:space="preserve">Crushky is raising </w:t>
      </w:r>
      <w:r>
        <w:rPr>
          <w:rFonts w:ascii="Arial" w:cs="Arial" w:eastAsia="Arial" w:hAnsi="Arial"/>
          <w:b/>
          <w:bCs/>
          <w:color w:val="000000"/>
          <w:sz w:val="18"/>
          <w:szCs w:val="18"/>
        </w:rPr>
        <w:t xml:space="preserve">₹1.5 Crore (~$180K) pre-seed</w:t>
      </w:r>
      <w:r>
        <w:rPr>
          <w:rFonts w:ascii="Arial" w:cs="Arial" w:eastAsia="Arial" w:hAnsi="Arial"/>
          <w:color w:val="000000"/>
          <w:sz w:val="18"/>
          <w:szCs w:val="18"/>
        </w:rPr>
        <w:t xml:space="preserve"> on a SAFE. Use of funds: </w:t>
      </w:r>
      <w:r>
        <w:rPr>
          <w:rFonts w:ascii="Arial" w:cs="Arial" w:eastAsia="Arial" w:hAnsi="Arial"/>
          <w:b/>
          <w:bCs/>
          <w:color w:val="000000"/>
          <w:sz w:val="18"/>
          <w:szCs w:val="18"/>
        </w:rPr>
        <w:t xml:space="preserve">30% Tech &amp; Product</w:t>
      </w:r>
      <w:r>
        <w:rPr>
          <w:rFonts w:ascii="Arial" w:cs="Arial" w:eastAsia="Arial" w:hAnsi="Arial"/>
          <w:color w:val="000000"/>
          <w:sz w:val="18"/>
          <w:szCs w:val="18"/>
        </w:rPr>
        <w:t xml:space="preserve"> (real AI matching engine, backend, voice processing, Claude API, mobile app); </w:t>
      </w:r>
      <w:r>
        <w:rPr>
          <w:rFonts w:ascii="Arial" w:cs="Arial" w:eastAsia="Arial" w:hAnsi="Arial"/>
          <w:b/>
          <w:bCs/>
          <w:color w:val="000000"/>
          <w:sz w:val="18"/>
          <w:szCs w:val="18"/>
        </w:rPr>
        <w:t xml:space="preserve">35% Team</w:t>
      </w:r>
      <w:r>
        <w:rPr>
          <w:rFonts w:ascii="Arial" w:cs="Arial" w:eastAsia="Arial" w:hAnsi="Arial"/>
          <w:color w:val="000000"/>
          <w:sz w:val="18"/>
          <w:szCs w:val="18"/>
        </w:rPr>
        <w:t xml:space="preserve"> (CTO ₹1.5L/mo, COO ₹1.25L/mo, 1 developer ₹1L/mo, founder ₹62,500/mo — all for 12 months); </w:t>
      </w:r>
      <w:r>
        <w:rPr>
          <w:rFonts w:ascii="Arial" w:cs="Arial" w:eastAsia="Arial" w:hAnsi="Arial"/>
          <w:b/>
          <w:bCs/>
          <w:color w:val="000000"/>
          <w:sz w:val="18"/>
          <w:szCs w:val="18"/>
        </w:rPr>
        <w:t xml:space="preserve">20% User Acquisition</w:t>
      </w:r>
      <w:r>
        <w:rPr>
          <w:rFonts w:ascii="Arial" w:cs="Arial" w:eastAsia="Arial" w:hAnsi="Arial"/>
          <w:color w:val="000000"/>
          <w:sz w:val="18"/>
          <w:szCs w:val="18"/>
        </w:rPr>
        <w:t xml:space="preserve"> (college ambassador program ₹10L, paid digital ₹10L, influencer ₹6L, content ₹4L); </w:t>
      </w:r>
      <w:r>
        <w:rPr>
          <w:rFonts w:ascii="Arial" w:cs="Arial" w:eastAsia="Arial" w:hAnsi="Arial"/>
          <w:b/>
          <w:bCs/>
          <w:color w:val="000000"/>
          <w:sz w:val="18"/>
          <w:szCs w:val="18"/>
        </w:rPr>
        <w:t xml:space="preserve">15% Operations</w:t>
      </w:r>
      <w:r>
        <w:rPr>
          <w:rFonts w:ascii="Arial" w:cs="Arial" w:eastAsia="Arial" w:hAnsi="Arial"/>
          <w:color w:val="000000"/>
          <w:sz w:val="18"/>
          <w:szCs w:val="18"/>
        </w:rPr>
        <w:t xml:space="preserve"> (legal, servers, office, contingency). Expected runway: </w:t>
      </w:r>
      <w:r>
        <w:rPr>
          <w:rFonts w:ascii="Arial" w:cs="Arial" w:eastAsia="Arial" w:hAnsi="Arial"/>
          <w:b/>
          <w:bCs/>
          <w:color w:val="000000"/>
          <w:sz w:val="18"/>
          <w:szCs w:val="18"/>
        </w:rPr>
        <w:t xml:space="preserve">15–18 months.</w:t>
      </w:r>
    </w:p>
    <w:p>
      <w:pPr>
        <w:spacing w:after="60"/>
      </w:pPr>
      <w:r>
        <w:t xml:space="preserve"/>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178"/>
      </w:tblGrid>
      <w:tr>
        <w:tc>
          <w:tcPr>
            <w:tcW w:type="dxa" w:w="10178"/>
            <w:tcBorders>
              <w:top w:val="none" w:color="FFFFFF" w:sz="0"/>
              <w:left w:val="none" w:color="FFFFFF" w:sz="0"/>
              <w:bottom w:val="none" w:color="FFFFFF" w:sz="0"/>
              <w:right w:val="none" w:color="FFFFFF" w:sz="0"/>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SEED FINANCING OBJECTIVE</w:t>
            </w:r>
          </w:p>
        </w:tc>
      </w:tr>
    </w:tbl>
    <w:p>
      <w:pPr>
        <w:spacing w:after="80"/>
      </w:pPr>
      <w:r>
        <w:t xml:space="preserve"/>
      </w:r>
    </w:p>
    <w:p>
      <w:pPr>
        <w:spacing w:after="80"/>
      </w:pPr>
      <w:r>
        <w:rPr>
          <w:rFonts w:ascii="Arial" w:cs="Arial" w:eastAsia="Arial" w:hAnsi="Arial"/>
          <w:color w:val="000000"/>
          <w:sz w:val="18"/>
          <w:szCs w:val="18"/>
        </w:rPr>
        <w:t xml:space="preserve">10,000 registered users across Bangalore, Delhi, Mumbai. </w:t>
      </w:r>
      <w:r>
        <w:rPr>
          <w:rFonts w:ascii="Arial" w:cs="Arial" w:eastAsia="Arial" w:hAnsi="Arial"/>
          <w:b/>
          <w:bCs/>
          <w:color w:val="000000"/>
          <w:sz w:val="18"/>
          <w:szCs w:val="18"/>
        </w:rPr>
        <w:t xml:space="preserve">500 paying subscribers (₹1,49,500 MRR).</w:t>
      </w:r>
      <w:r>
        <w:rPr>
          <w:rFonts w:ascii="Arial" w:cs="Arial" w:eastAsia="Arial" w:hAnsi="Arial"/>
          <w:color w:val="000000"/>
          <w:sz w:val="18"/>
          <w:szCs w:val="18"/>
        </w:rPr>
        <w:t xml:space="preserve"> Launch mobile app (iOS + Android). Prove voice-AI matching retention and free-to-paid conversion before Series A (₹8–12 Cr target, Q1 2027).</w:t>
      </w:r>
    </w:p>
    <w:p>
      <w:pPr>
        <w:spacing w:after="60"/>
      </w:pPr>
      <w:r>
        <w:t xml:space="preserve"/>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178"/>
      </w:tblGrid>
      <w:tr>
        <w:tc>
          <w:tcPr>
            <w:tcW w:type="dxa" w:w="10178"/>
            <w:tcBorders>
              <w:top w:val="none" w:color="FFFFFF" w:sz="0"/>
              <w:left w:val="none" w:color="FFFFFF" w:sz="0"/>
              <w:bottom w:val="none" w:color="FFFFFF" w:sz="0"/>
              <w:right w:val="none" w:color="FFFFFF" w:sz="0"/>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FINANCIAL OUTLOOK</w:t>
            </w:r>
          </w:p>
        </w:tc>
      </w:tr>
    </w:tbl>
    <w:p>
      <w:pPr>
        <w:spacing w:after="80"/>
      </w:pPr>
      <w:r>
        <w:t xml:space="preserve"/>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3378"/>
      </w:tblGrid>
      <w:tr>
        <w:tc>
          <w:tcPr>
            <w:tcW w:type="dxa" w:w="1700"/>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Metric</w:t>
            </w:r>
          </w:p>
        </w:tc>
        <w:tc>
          <w:tcPr>
            <w:tcW w:type="dxa" w:w="1700"/>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Month 3</w:t>
            </w:r>
          </w:p>
        </w:tc>
        <w:tc>
          <w:tcPr>
            <w:tcW w:type="dxa" w:w="1700"/>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Month 6</w:t>
            </w:r>
          </w:p>
        </w:tc>
        <w:tc>
          <w:tcPr>
            <w:tcW w:type="dxa" w:w="1700"/>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Month 9</w:t>
            </w:r>
          </w:p>
        </w:tc>
        <w:tc>
          <w:tcPr>
            <w:tcW w:type="dxa" w:w="3378"/>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Month 12</w:t>
            </w:r>
          </w:p>
        </w:tc>
      </w:tr>
      <w:tr>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000000"/>
                <w:sz w:val="16"/>
                <w:szCs w:val="16"/>
              </w:rPr>
              <w:t xml:space="preserve">Registered Users</w:t>
            </w:r>
          </w:p>
        </w:tc>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500</w:t>
            </w:r>
          </w:p>
        </w:tc>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2,000</w:t>
            </w:r>
          </w:p>
        </w:tc>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5,500</w:t>
            </w:r>
          </w:p>
        </w:tc>
        <w:tc>
          <w:tcPr>
            <w:tcW w:type="dxa" w:w="337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10,000</w:t>
            </w:r>
          </w:p>
        </w:tc>
      </w:tr>
      <w:tr>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b/>
                <w:bCs/>
                <w:color w:val="000000"/>
                <w:sz w:val="16"/>
                <w:szCs w:val="16"/>
              </w:rPr>
              <w:t xml:space="preserve">Paying (5% conv.)</w:t>
            </w:r>
          </w:p>
        </w:tc>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25</w:t>
            </w:r>
          </w:p>
        </w:tc>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100</w:t>
            </w:r>
          </w:p>
        </w:tc>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300</w:t>
            </w:r>
          </w:p>
        </w:tc>
        <w:tc>
          <w:tcPr>
            <w:tcW w:type="dxa" w:w="337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500</w:t>
            </w:r>
          </w:p>
        </w:tc>
      </w:tr>
      <w:tr>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000000"/>
                <w:sz w:val="16"/>
                <w:szCs w:val="16"/>
              </w:rPr>
              <w:t xml:space="preserve">MRR</w:t>
            </w:r>
          </w:p>
        </w:tc>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₹7,475</w:t>
            </w:r>
          </w:p>
        </w:tc>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₹29,900</w:t>
            </w:r>
          </w:p>
        </w:tc>
        <w:tc>
          <w:tcPr>
            <w:tcW w:type="dxa" w:w="1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₹89,700</w:t>
            </w:r>
          </w:p>
        </w:tc>
        <w:tc>
          <w:tcPr>
            <w:tcW w:type="dxa" w:w="337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color w:val="000000"/>
                <w:sz w:val="16"/>
                <w:szCs w:val="16"/>
              </w:rPr>
              <w:t xml:space="preserve">₹1,49,500</w:t>
            </w:r>
          </w:p>
        </w:tc>
      </w:tr>
      <w:tr>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b/>
                <w:bCs/>
                <w:color w:val="000000"/>
                <w:sz w:val="16"/>
                <w:szCs w:val="16"/>
              </w:rPr>
              <w:t xml:space="preserve">Monthly Burn</w:t>
            </w:r>
          </w:p>
        </w:tc>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₹8L</w:t>
            </w:r>
          </w:p>
        </w:tc>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₹8L</w:t>
            </w:r>
          </w:p>
        </w:tc>
        <w:tc>
          <w:tcPr>
            <w:tcW w:type="dxa" w:w="1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₹9L</w:t>
            </w:r>
          </w:p>
        </w:tc>
        <w:tc>
          <w:tcPr>
            <w:tcW w:type="dxa" w:w="337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r>
              <w:rPr>
                <w:rFonts w:ascii="Arial" w:cs="Arial" w:eastAsia="Arial" w:hAnsi="Arial"/>
                <w:color w:val="000000"/>
                <w:sz w:val="16"/>
                <w:szCs w:val="16"/>
              </w:rPr>
              <w:t xml:space="preserve">₹10L</w:t>
            </w:r>
          </w:p>
        </w:tc>
      </w:tr>
    </w:tbl>
    <w:p>
      <w:pPr>
        <w:spacing w:after="60"/>
      </w:pPr>
      <w:r>
        <w:t xml:space="preserve"/>
      </w:r>
    </w:p>
    <w:p>
      <w:pPr>
        <w:spacing w:after="80"/>
      </w:pPr>
      <w:r>
        <w:rPr>
          <w:rFonts w:ascii="Arial" w:cs="Arial" w:eastAsia="Arial" w:hAnsi="Arial"/>
          <w:color w:val="000000"/>
          <w:sz w:val="18"/>
          <w:szCs w:val="18"/>
        </w:rPr>
        <w:t xml:space="preserve">Path to Series A: At 500 paying users, Crushky generates ₹18L/month (₹2.16 Cr ARR run-rate). Year 2 target: ₹1 Cr ARR across 10 cities. </w:t>
      </w:r>
      <w:r>
        <w:rPr>
          <w:rFonts w:ascii="Arial" w:cs="Arial" w:eastAsia="Arial" w:hAnsi="Arial"/>
          <w:b/>
          <w:bCs/>
          <w:color w:val="000000"/>
          <w:sz w:val="18"/>
          <w:szCs w:val="18"/>
        </w:rPr>
        <w:t xml:space="preserve">LTV:CAC target 10x</w:t>
      </w:r>
      <w:r>
        <w:rPr>
          <w:rFonts w:ascii="Arial" w:cs="Arial" w:eastAsia="Arial" w:hAnsi="Arial"/>
          <w:color w:val="000000"/>
          <w:sz w:val="18"/>
          <w:szCs w:val="18"/>
        </w:rPr>
        <w:t xml:space="preserve"> (LTV ₹2,388 at 8-month avg tenure vs. CAC ₹200–300). At 1% penetration of the 18M-user SAM, Crushky reaches ₹540 Cr ARR — </w:t>
      </w:r>
      <w:r>
        <w:rPr>
          <w:rFonts w:ascii="Arial" w:cs="Arial" w:eastAsia="Arial" w:hAnsi="Arial"/>
          <w:b/>
          <w:bCs/>
          <w:color w:val="000000"/>
          <w:sz w:val="18"/>
          <w:szCs w:val="18"/>
        </w:rPr>
        <w:t xml:space="preserve">comparable to Bumble India's current scale.</w:t>
      </w:r>
    </w:p>
    <w:p>
      <w:pPr>
        <w:spacing w:after="60"/>
      </w:pPr>
      <w:r>
        <w:t xml:space="preserve"/>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178"/>
      </w:tblGrid>
      <w:tr>
        <w:tc>
          <w:tcPr>
            <w:tcW w:type="dxa" w:w="10178"/>
            <w:tcBorders>
              <w:top w:val="none" w:color="FFFFFF" w:sz="0"/>
              <w:left w:val="none" w:color="FFFFFF" w:sz="0"/>
              <w:bottom w:val="none" w:color="FFFFFF" w:sz="0"/>
              <w:right w:val="none" w:color="FFFFFF" w:sz="0"/>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HIGHLIGHTS &amp; RISKS</w:t>
            </w:r>
          </w:p>
        </w:tc>
      </w:tr>
    </w:tbl>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5089"/>
        <w:gridCol w:w="5089"/>
      </w:tblGrid>
      <w:tr>
        <w:tc>
          <w:tcPr>
            <w:tcW w:type="dxa" w:w="508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b/>
                <w:bCs/>
                <w:color w:val="000000"/>
                <w:sz w:val="18"/>
                <w:szCs w:val="18"/>
              </w:rPr>
              <w:t xml:space="preserve">Highlights</w:t>
            </w:r>
          </w:p>
          <w:p>
            <w:pPr>
              <w:pStyle w:val="ListParagraph"/>
              <w:numPr>
                <w:ilvl w:val="0"/>
                <w:numId w:val="2"/>
              </w:numPr>
              <w:spacing w:after="40"/>
            </w:pPr>
            <w:r>
              <w:rPr>
                <w:rFonts w:ascii="Arial" w:cs="Arial" w:eastAsia="Arial" w:hAnsi="Arial"/>
                <w:color w:val="000000"/>
                <w:sz w:val="16"/>
                <w:szCs w:val="16"/>
              </w:rPr>
              <w:t xml:space="preserve">AI companion market: Character.AI 20M DAU; Replika 10M users at $29.99/mo</w:t>
            </w:r>
          </w:p>
          <w:p>
            <w:pPr>
              <w:pStyle w:val="ListParagraph"/>
              <w:numPr>
                <w:ilvl w:val="0"/>
                <w:numId w:val="2"/>
              </w:numPr>
              <w:spacing w:after="40"/>
            </w:pPr>
            <w:r>
              <w:rPr>
                <w:rFonts w:ascii="Arial" w:cs="Arial" w:eastAsia="Arial" w:hAnsi="Arial"/>
                <w:color w:val="000000"/>
                <w:sz w:val="16"/>
                <w:szCs w:val="16"/>
              </w:rPr>
              <w:t xml:space="preserve">Global AI companion market $5.8B today → $150B by 2030 (21x growth)</w:t>
            </w:r>
          </w:p>
          <w:p>
            <w:pPr>
              <w:pStyle w:val="ListParagraph"/>
              <w:numPr>
                <w:ilvl w:val="0"/>
                <w:numId w:val="2"/>
              </w:numPr>
              <w:spacing w:after="40"/>
            </w:pPr>
            <w:r>
              <w:rPr>
                <w:rFonts w:ascii="Arial" w:cs="Arial" w:eastAsia="Arial" w:hAnsi="Arial"/>
                <w:color w:val="000000"/>
                <w:sz w:val="16"/>
                <w:szCs w:val="16"/>
              </w:rPr>
              <w:t xml:space="preserve">No voice-first AI dating product exists in India (93M urban singles)</w:t>
            </w:r>
          </w:p>
          <w:p>
            <w:pPr>
              <w:pStyle w:val="ListParagraph"/>
              <w:numPr>
                <w:ilvl w:val="0"/>
                <w:numId w:val="2"/>
              </w:numPr>
              <w:spacing w:after="40"/>
            </w:pPr>
            <w:r>
              <w:rPr>
                <w:rFonts w:ascii="Arial" w:cs="Arial" w:eastAsia="Arial" w:hAnsi="Arial"/>
                <w:color w:val="000000"/>
                <w:sz w:val="16"/>
                <w:szCs w:val="16"/>
              </w:rPr>
              <w:t xml:space="preserve">MVP live &amp; built solo in ~2 weeks; Claude API integrated</w:t>
            </w:r>
          </w:p>
          <w:p>
            <w:pPr>
              <w:pStyle w:val="ListParagraph"/>
              <w:numPr>
                <w:ilvl w:val="0"/>
                <w:numId w:val="2"/>
              </w:numPr>
              <w:spacing w:after="40"/>
            </w:pPr>
            <w:r>
              <w:rPr>
                <w:rFonts w:ascii="Arial" w:cs="Arial" w:eastAsia="Arial" w:hAnsi="Arial"/>
                <w:color w:val="000000"/>
                <w:sz w:val="16"/>
                <w:szCs w:val="16"/>
              </w:rPr>
              <w:t xml:space="preserve">₹299/mo subscription; companion layer creates daily retention beyond matching</w:t>
            </w:r>
          </w:p>
          <w:p>
            <w:pPr>
              <w:pStyle w:val="ListParagraph"/>
              <w:numPr>
                <w:ilvl w:val="0"/>
                <w:numId w:val="2"/>
              </w:numPr>
              <w:spacing w:after="40"/>
            </w:pPr>
            <w:r>
              <w:rPr>
                <w:rFonts w:ascii="Arial" w:cs="Arial" w:eastAsia="Arial" w:hAnsi="Arial"/>
                <w:color w:val="000000"/>
                <w:sz w:val="16"/>
                <w:szCs w:val="16"/>
              </w:rPr>
              <w:t xml:space="preserve">LTV:CAC target 10x; low-friction ₹299 price point for Tier 1 users</w:t>
            </w:r>
          </w:p>
        </w:tc>
        <w:tc>
          <w:tcPr>
            <w:tcW w:type="dxa" w:w="508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b/>
                <w:bCs/>
                <w:color w:val="000000"/>
                <w:sz w:val="18"/>
                <w:szCs w:val="18"/>
              </w:rPr>
              <w:t xml:space="preserve">Risks</w:t>
            </w:r>
          </w:p>
          <w:p>
            <w:pPr>
              <w:pStyle w:val="ListParagraph"/>
              <w:numPr>
                <w:ilvl w:val="0"/>
                <w:numId w:val="2"/>
              </w:numPr>
              <w:spacing w:after="40"/>
            </w:pPr>
            <w:r>
              <w:rPr>
                <w:rFonts w:ascii="Arial" w:cs="Arial" w:eastAsia="Arial" w:hAnsi="Arial"/>
                <w:color w:val="000000"/>
                <w:sz w:val="16"/>
                <w:szCs w:val="16"/>
              </w:rPr>
              <w:t xml:space="preserve">Pre-revenue; user validation still ahead</w:t>
            </w:r>
          </w:p>
          <w:p>
            <w:pPr>
              <w:pStyle w:val="ListParagraph"/>
              <w:numPr>
                <w:ilvl w:val="0"/>
                <w:numId w:val="2"/>
              </w:numPr>
              <w:spacing w:after="40"/>
            </w:pPr>
            <w:r>
              <w:rPr>
                <w:rFonts w:ascii="Arial" w:cs="Arial" w:eastAsia="Arial" w:hAnsi="Arial"/>
                <w:color w:val="000000"/>
                <w:sz w:val="16"/>
                <w:szCs w:val="16"/>
              </w:rPr>
              <w:t xml:space="preserve">Voice openness assumption must be confirmed with real users</w:t>
            </w:r>
          </w:p>
          <w:p>
            <w:pPr>
              <w:pStyle w:val="ListParagraph"/>
              <w:numPr>
                <w:ilvl w:val="0"/>
                <w:numId w:val="2"/>
              </w:numPr>
              <w:spacing w:after="40"/>
            </w:pPr>
            <w:r>
              <w:rPr>
                <w:rFonts w:ascii="Arial" w:cs="Arial" w:eastAsia="Arial" w:hAnsi="Arial"/>
                <w:color w:val="000000"/>
                <w:sz w:val="16"/>
                <w:szCs w:val="16"/>
              </w:rPr>
              <w:t xml:space="preserve">Cold start: needs both sides of match to complete AI conversation</w:t>
            </w:r>
          </w:p>
          <w:p>
            <w:pPr>
              <w:pStyle w:val="ListParagraph"/>
              <w:numPr>
                <w:ilvl w:val="0"/>
                <w:numId w:val="2"/>
              </w:numPr>
              <w:spacing w:after="40"/>
            </w:pPr>
            <w:r>
              <w:rPr>
                <w:rFonts w:ascii="Arial" w:cs="Arial" w:eastAsia="Arial" w:hAnsi="Arial"/>
                <w:color w:val="000000"/>
                <w:sz w:val="16"/>
                <w:szCs w:val="16"/>
              </w:rPr>
              <w:t xml:space="preserve">Claude API costs may compress margin at scale</w:t>
            </w:r>
          </w:p>
        </w:tc>
      </w:tr>
    </w:tbl>
    <w:sectPr>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dso6br9k_j4slcddffn8" Type="http://schemas.openxmlformats.org/officeDocument/2006/relationships/hyperlink" Target="https://crushky.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2026-06-01T13:09:16.479Z</dcterms:created>
  <dcterms:modified xsi:type="dcterms:W3CDTF">2026-06-01T13:09:16.480Z</dcterms:modified>
</cp:coreProperties>
</file>

<file path=docProps/custom.xml><?xml version="1.0" encoding="utf-8"?>
<Properties xmlns="http://schemas.openxmlformats.org/officeDocument/2006/custom-properties" xmlns:vt="http://schemas.openxmlformats.org/officeDocument/2006/docPropsVTypes"/>
</file>