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034A6"/>
          <w:sz w:val="40"/>
        </w:rPr>
        <w:t>VELORA EXECUTIVE AGENT — TEAMS CHAT VERIFICATION REPORT</w:t>
      </w:r>
    </w:p>
    <w:p>
      <w:pPr>
        <w:spacing w:after="240"/>
      </w:pPr>
      <w:r>
        <w:rPr>
          <w:rFonts w:ascii="Arial" w:hAnsi="Arial"/>
          <w:color w:val="5A5A5A"/>
          <w:sz w:val="22"/>
        </w:rPr>
        <w:t>Live Microsoft Teams Browser Automation, 17-Metric Workforce Telemetry, Ground Truth Excel Reconciliation &amp; Response Screenshots</w:t>
      </w:r>
    </w:p>
    <w:tbl>
      <w:tblPr>
        <w:tblW w:type="auto" w:w="0"/>
        <w:jc w:val="center"/>
        <w:tblLook w:firstColumn="1" w:firstRow="1" w:lastColumn="0" w:lastRow="0" w:noHBand="0" w:noVBand="1" w:val="04A0"/>
      </w:tblPr>
      <w:tblGrid>
        <w:gridCol w:w="2520"/>
        <w:gridCol w:w="2520"/>
        <w:gridCol w:w="2520"/>
        <w:gridCol w:w="2520"/>
      </w:tblGrid>
      <w:tr>
        <w:tc>
          <w:tcPr>
            <w:tcW w:type="dxa" w:w="2520"/>
            <w:shd w:fill="F0F4F8"/>
            <w:tcMar>
              <w:top w:w="80" w:type="dxa"/>
              <w:bottom w:w="80" w:type="dxa"/>
              <w:left w:w="120" w:type="dxa"/>
              <w:right w:w="120" w:type="dxa"/>
            </w:tcMar>
          </w:tcPr>
          <w:p>
            <w:pPr>
              <w:spacing w:after="40"/>
            </w:pPr>
            <w:r>
              <w:rPr>
                <w:rFonts w:ascii="Arial" w:hAnsi="Arial"/>
                <w:b/>
                <w:color w:val="1034A6"/>
                <w:sz w:val="17"/>
              </w:rPr>
              <w:t>Audit Date</w:t>
              <w:br/>
            </w:r>
            <w:r>
              <w:rPr>
                <w:rFonts w:ascii="Arial" w:hAnsi="Arial"/>
                <w:color w:val="282828"/>
                <w:sz w:val="19"/>
              </w:rPr>
              <w:t>2026-08-23 18:45 UTC+4</w:t>
            </w:r>
          </w:p>
        </w:tc>
        <w:tc>
          <w:tcPr>
            <w:tcW w:type="dxa" w:w="2520"/>
            <w:shd w:fill="F0F4F8"/>
            <w:tcMar>
              <w:top w:w="80" w:type="dxa"/>
              <w:bottom w:w="80" w:type="dxa"/>
              <w:left w:w="120" w:type="dxa"/>
              <w:right w:w="120" w:type="dxa"/>
            </w:tcMar>
          </w:tcPr>
          <w:p>
            <w:pPr>
              <w:spacing w:after="40"/>
            </w:pPr>
            <w:r>
              <w:rPr>
                <w:rFonts w:ascii="Arial" w:hAnsi="Arial"/>
                <w:b/>
                <w:color w:val="1034A6"/>
                <w:sz w:val="17"/>
              </w:rPr>
              <w:t>Auditor Profile</w:t>
              <w:br/>
            </w:r>
            <w:r>
              <w:rPr>
                <w:rFonts w:ascii="Arial" w:hAnsi="Arial"/>
                <w:color w:val="282828"/>
                <w:sz w:val="19"/>
              </w:rPr>
              <w:t>balaadm@velora.ae</w:t>
            </w:r>
          </w:p>
        </w:tc>
        <w:tc>
          <w:tcPr>
            <w:tcW w:type="dxa" w:w="2520"/>
            <w:shd w:fill="F0F4F8"/>
            <w:tcMar>
              <w:top w:w="80" w:type="dxa"/>
              <w:bottom w:w="80" w:type="dxa"/>
              <w:left w:w="120" w:type="dxa"/>
              <w:right w:w="120" w:type="dxa"/>
            </w:tcMar>
          </w:tcPr>
          <w:p>
            <w:pPr>
              <w:spacing w:after="40"/>
            </w:pPr>
            <w:r>
              <w:rPr>
                <w:rFonts w:ascii="Arial" w:hAnsi="Arial"/>
                <w:b/>
                <w:color w:val="1034A6"/>
                <w:sz w:val="17"/>
              </w:rPr>
              <w:t>Target Platform</w:t>
              <w:br/>
            </w:r>
            <w:r>
              <w:rPr>
                <w:rFonts w:ascii="Arial" w:hAnsi="Arial"/>
                <w:color w:val="282828"/>
                <w:sz w:val="19"/>
              </w:rPr>
              <w:t>Microsoft Teams (Live Chat)</w:t>
            </w:r>
          </w:p>
        </w:tc>
        <w:tc>
          <w:tcPr>
            <w:tcW w:type="dxa" w:w="2520"/>
            <w:shd w:fill="F0F4F8"/>
            <w:tcMar>
              <w:top w:w="80" w:type="dxa"/>
              <w:bottom w:w="80" w:type="dxa"/>
              <w:left w:w="120" w:type="dxa"/>
              <w:right w:w="120" w:type="dxa"/>
            </w:tcMar>
          </w:tcPr>
          <w:p>
            <w:pPr>
              <w:spacing w:after="40"/>
            </w:pPr>
            <w:r>
              <w:rPr>
                <w:rFonts w:ascii="Arial" w:hAnsi="Arial"/>
                <w:b/>
                <w:color w:val="1034A6"/>
                <w:sz w:val="17"/>
              </w:rPr>
              <w:t>Agent Runtime</w:t>
              <w:br/>
            </w:r>
            <w:r>
              <w:rPr>
                <w:rFonts w:ascii="Arial" w:hAnsi="Arial"/>
                <w:color w:val="282828"/>
                <w:sz w:val="19"/>
              </w:rPr>
              <w:t>Velora Executive Agent</w:t>
            </w:r>
          </w:p>
        </w:tc>
      </w:tr>
      <w:tr>
        <w:tc>
          <w:tcPr>
            <w:tcW w:type="dxa" w:w="2520"/>
            <w:shd w:fill="FFFFFF"/>
            <w:tcMar>
              <w:top w:w="80" w:type="dxa"/>
              <w:bottom w:w="80" w:type="dxa"/>
              <w:left w:w="120" w:type="dxa"/>
              <w:right w:w="120" w:type="dxa"/>
            </w:tcMar>
          </w:tcPr>
          <w:p>
            <w:pPr>
              <w:spacing w:after="40"/>
            </w:pPr>
            <w:r>
              <w:rPr>
                <w:rFonts w:ascii="Arial" w:hAnsi="Arial"/>
                <w:b/>
                <w:color w:val="1034A6"/>
                <w:sz w:val="17"/>
              </w:rPr>
              <w:t>Ground Truth Source</w:t>
              <w:br/>
            </w:r>
            <w:r>
              <w:rPr>
                <w:rFonts w:ascii="Arial" w:hAnsi="Arial"/>
                <w:color w:val="282828"/>
                <w:sz w:val="19"/>
              </w:rPr>
              <w:t>report_Velora_Head_Count_Report*.xlsx</w:t>
            </w:r>
          </w:p>
        </w:tc>
        <w:tc>
          <w:tcPr>
            <w:tcW w:type="dxa" w:w="2520"/>
            <w:shd w:fill="FFFFFF"/>
            <w:tcMar>
              <w:top w:w="80" w:type="dxa"/>
              <w:bottom w:w="80" w:type="dxa"/>
              <w:left w:w="120" w:type="dxa"/>
              <w:right w:w="120" w:type="dxa"/>
            </w:tcMar>
          </w:tcPr>
          <w:p>
            <w:pPr>
              <w:spacing w:after="40"/>
            </w:pPr>
            <w:r>
              <w:rPr>
                <w:rFonts w:ascii="Arial" w:hAnsi="Arial"/>
                <w:b/>
                <w:color w:val="1034A6"/>
                <w:sz w:val="17"/>
              </w:rPr>
              <w:t>Live SAP Backend</w:t>
              <w:br/>
            </w:r>
            <w:r>
              <w:rPr>
                <w:rFonts w:ascii="Arial" w:hAnsi="Arial"/>
                <w:color w:val="282828"/>
                <w:sz w:val="19"/>
              </w:rPr>
              <w:t>SAP SuccessFactors UAE Preview</w:t>
            </w:r>
          </w:p>
        </w:tc>
        <w:tc>
          <w:tcPr>
            <w:tcW w:type="dxa" w:w="2520"/>
            <w:shd w:fill="FFFFFF"/>
            <w:tcMar>
              <w:top w:w="80" w:type="dxa"/>
              <w:bottom w:w="80" w:type="dxa"/>
              <w:left w:w="120" w:type="dxa"/>
              <w:right w:w="120" w:type="dxa"/>
            </w:tcMar>
          </w:tcPr>
          <w:p>
            <w:pPr>
              <w:spacing w:after="40"/>
            </w:pPr>
            <w:r>
              <w:rPr>
                <w:rFonts w:ascii="Arial" w:hAnsi="Arial"/>
                <w:b/>
                <w:color w:val="1034A6"/>
                <w:sz w:val="17"/>
              </w:rPr>
              <w:t>Audit Log Table</w:t>
              <w:br/>
            </w:r>
            <w:r>
              <w:rPr>
                <w:rFonts w:ascii="Arial" w:hAnsi="Arial"/>
                <w:color w:val="282828"/>
                <w:sz w:val="19"/>
              </w:rPr>
              <w:t>cre2f_veloraagentauditlogs</w:t>
            </w:r>
          </w:p>
        </w:tc>
        <w:tc>
          <w:tcPr>
            <w:tcW w:type="dxa" w:w="2520"/>
            <w:shd w:fill="FFFFFF"/>
            <w:tcMar>
              <w:top w:w="80" w:type="dxa"/>
              <w:bottom w:w="80" w:type="dxa"/>
              <w:left w:w="120" w:type="dxa"/>
              <w:right w:w="120" w:type="dxa"/>
            </w:tcMar>
          </w:tcPr>
          <w:p>
            <w:pPr>
              <w:spacing w:after="40"/>
            </w:pPr>
            <w:r>
              <w:rPr>
                <w:rFonts w:ascii="Arial" w:hAnsi="Arial"/>
                <w:b/>
                <w:color w:val="1034A6"/>
                <w:sz w:val="17"/>
              </w:rPr>
              <w:t>Browser Automation</w:t>
              <w:br/>
            </w:r>
            <w:r>
              <w:rPr>
                <w:rFonts w:ascii="Arial" w:hAnsi="Arial"/>
                <w:color w:val="282828"/>
                <w:sz w:val="19"/>
              </w:rPr>
              <w:t>Ego-Browser (EgoLite)</w:t>
            </w:r>
          </w:p>
        </w:tc>
      </w:tr>
    </w:tbl>
    <w:p>
      <w:pPr>
        <w:spacing w:after="120"/>
      </w:pPr>
    </w:p>
    <w:p>
      <w:pPr>
        <w:pStyle w:val="Heading1"/>
      </w:pPr>
      <w:r>
        <w:rPr>
          <w:rFonts w:ascii="Arial" w:hAnsi="Arial"/>
          <w:b/>
          <w:color w:val="1034A6"/>
          <w:sz w:val="28"/>
        </w:rPr>
        <w:t>1. Executive Summary &amp; Test Protocol</w:t>
      </w:r>
    </w:p>
    <w:p>
      <w:pPr>
        <w:spacing w:after="160" w:line="276" w:lineRule="auto"/>
      </w:pPr>
      <w:r>
        <w:t>This verification report documents the live browser-driven test of the Velora Executive Agent in Microsoft Teams. The test evaluated all 17 required executive workforce metrics covering active workforce counts, status breakdowns, business segment and corporate distributions, Emirati representation, strategic target gaps, hiring velocity, leavers, and attrition trends. All queries were executed via live browser automation (Ego-Browser), and actual responses and telemetry from Teams chat were captured and cross-referenced against the baseline SAP SuccessFactors master dataset.</w:t>
      </w:r>
    </w:p>
    <w:p>
      <w:pPr>
        <w:pStyle w:val="Heading1"/>
      </w:pPr>
      <w:r>
        <w:rPr>
          <w:rFonts w:ascii="Arial" w:hAnsi="Arial"/>
          <w:b/>
          <w:color w:val="1034A6"/>
          <w:sz w:val="28"/>
        </w:rPr>
        <w:t>2. Comprehensive 17-Metric Verification &amp; Reconciliation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034A6"/>
            <w:tcMar>
              <w:top w:w="100" w:type="dxa"/>
              <w:bottom w:w="100" w:type="dxa"/>
              <w:left w:w="100" w:type="dxa"/>
              <w:right w:w="100" w:type="dxa"/>
            </w:tcMar>
          </w:tcPr>
          <w:p>
            <w:pPr>
              <w:jc w:val="center"/>
            </w:pPr>
            <w:r>
              <w:rPr>
                <w:rFonts w:ascii="Arial" w:hAnsi="Arial"/>
                <w:b/>
                <w:color w:val="FFFFFF"/>
                <w:sz w:val="19"/>
              </w:rPr>
              <w:t>#</w:t>
            </w:r>
          </w:p>
        </w:tc>
        <w:tc>
          <w:tcPr>
            <w:tcW w:type="dxa" w:w="2016"/>
            <w:shd w:fill="1034A6"/>
            <w:tcMar>
              <w:top w:w="100" w:type="dxa"/>
              <w:bottom w:w="100" w:type="dxa"/>
              <w:left w:w="100" w:type="dxa"/>
              <w:right w:w="100" w:type="dxa"/>
            </w:tcMar>
          </w:tcPr>
          <w:p>
            <w:pPr>
              <w:jc w:val="center"/>
            </w:pPr>
            <w:r>
              <w:rPr>
                <w:rFonts w:ascii="Arial" w:hAnsi="Arial"/>
                <w:b/>
                <w:color w:val="FFFFFF"/>
                <w:sz w:val="19"/>
              </w:rPr>
              <w:t>Required Executive Metric</w:t>
            </w:r>
          </w:p>
        </w:tc>
        <w:tc>
          <w:tcPr>
            <w:tcW w:type="dxa" w:w="2016"/>
            <w:shd w:fill="1034A6"/>
            <w:tcMar>
              <w:top w:w="100" w:type="dxa"/>
              <w:bottom w:w="100" w:type="dxa"/>
              <w:left w:w="100" w:type="dxa"/>
              <w:right w:w="100" w:type="dxa"/>
            </w:tcMar>
          </w:tcPr>
          <w:p>
            <w:pPr>
              <w:jc w:val="center"/>
            </w:pPr>
            <w:r>
              <w:rPr>
                <w:rFonts w:ascii="Arial" w:hAnsi="Arial"/>
                <w:b/>
                <w:color w:val="FFFFFF"/>
                <w:sz w:val="19"/>
              </w:rPr>
              <w:t>Teams Chat / Copilot Live Output</w:t>
            </w:r>
          </w:p>
        </w:tc>
        <w:tc>
          <w:tcPr>
            <w:tcW w:type="dxa" w:w="2016"/>
            <w:shd w:fill="1034A6"/>
            <w:tcMar>
              <w:top w:w="100" w:type="dxa"/>
              <w:bottom w:w="100" w:type="dxa"/>
              <w:left w:w="100" w:type="dxa"/>
              <w:right w:w="100" w:type="dxa"/>
            </w:tcMar>
          </w:tcPr>
          <w:p>
            <w:pPr>
              <w:jc w:val="center"/>
            </w:pPr>
            <w:r>
              <w:rPr>
                <w:rFonts w:ascii="Arial" w:hAnsi="Arial"/>
                <w:b/>
                <w:color w:val="FFFFFF"/>
                <w:sz w:val="19"/>
              </w:rPr>
              <w:t>Ground Truth (Master Excel)</w:t>
            </w:r>
          </w:p>
        </w:tc>
        <w:tc>
          <w:tcPr>
            <w:tcW w:type="dxa" w:w="2016"/>
            <w:shd w:fill="1034A6"/>
            <w:tcMar>
              <w:top w:w="100" w:type="dxa"/>
              <w:bottom w:w="100" w:type="dxa"/>
              <w:left w:w="100" w:type="dxa"/>
              <w:right w:w="100" w:type="dxa"/>
            </w:tcMar>
          </w:tcPr>
          <w:p>
            <w:pPr>
              <w:jc w:val="center"/>
            </w:pPr>
            <w:r>
              <w:rPr>
                <w:rFonts w:ascii="Arial" w:hAnsi="Arial"/>
                <w:b/>
                <w:color w:val="FFFFFF"/>
                <w:sz w:val="19"/>
              </w:rPr>
              <w:t>Verification Status</w:t>
            </w:r>
          </w:p>
        </w:tc>
      </w:tr>
      <w:tr>
        <w:tc>
          <w:tcPr>
            <w:tcW w:type="dxa" w:w="2016"/>
            <w:shd w:fill="F9FAFC"/>
            <w:tcMar>
              <w:top w:w="60" w:type="dxa"/>
              <w:bottom w:w="60" w:type="dxa"/>
              <w:left w:w="80" w:type="dxa"/>
              <w:right w:w="80" w:type="dxa"/>
            </w:tcMar>
          </w:tcPr>
          <w:p>
            <w:pPr>
              <w:jc w:val="center"/>
            </w:pPr>
            <w:r>
              <w:rPr>
                <w:rFonts w:ascii="Arial" w:hAnsi="Arial"/>
                <w:sz w:val="17"/>
              </w:rPr>
              <w:t>1</w:t>
            </w:r>
          </w:p>
        </w:tc>
        <w:tc>
          <w:tcPr>
            <w:tcW w:type="dxa" w:w="2016"/>
            <w:shd w:fill="F9FAFC"/>
            <w:tcMar>
              <w:top w:w="60" w:type="dxa"/>
              <w:bottom w:w="60" w:type="dxa"/>
              <w:left w:w="80" w:type="dxa"/>
              <w:right w:w="80" w:type="dxa"/>
            </w:tcMar>
          </w:tcPr>
          <w:p>
            <w:r>
              <w:rPr>
                <w:rFonts w:ascii="Arial" w:hAnsi="Arial"/>
                <w:sz w:val="17"/>
              </w:rPr>
              <w:t>Active workforce</w:t>
            </w:r>
          </w:p>
        </w:tc>
        <w:tc>
          <w:tcPr>
            <w:tcW w:type="dxa" w:w="2016"/>
            <w:shd w:fill="F9FAFC"/>
            <w:tcMar>
              <w:top w:w="60" w:type="dxa"/>
              <w:bottom w:w="60" w:type="dxa"/>
              <w:left w:w="80" w:type="dxa"/>
              <w:right w:w="80" w:type="dxa"/>
            </w:tcMar>
          </w:tcPr>
          <w:p>
            <w:r>
              <w:rPr>
                <w:rFonts w:ascii="Arial" w:hAnsi="Arial"/>
                <w:sz w:val="17"/>
              </w:rPr>
              <w:t>2,523 active employees (role-visible)</w:t>
            </w:r>
          </w:p>
        </w:tc>
        <w:tc>
          <w:tcPr>
            <w:tcW w:type="dxa" w:w="2016"/>
            <w:shd w:fill="F9FAFC"/>
            <w:tcMar>
              <w:top w:w="60" w:type="dxa"/>
              <w:bottom w:w="60" w:type="dxa"/>
              <w:left w:w="80" w:type="dxa"/>
              <w:right w:w="80" w:type="dxa"/>
            </w:tcMar>
          </w:tcPr>
          <w:p>
            <w:r>
              <w:rPr>
                <w:rFonts w:ascii="Arial" w:hAnsi="Arial"/>
                <w:sz w:val="17"/>
              </w:rPr>
              <w:t>2,521 active records</w:t>
            </w:r>
          </w:p>
        </w:tc>
        <w:tc>
          <w:tcPr>
            <w:tcW w:type="dxa" w:w="2016"/>
            <w:shd w:fill="F9FAFC"/>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FFFFF"/>
            <w:tcMar>
              <w:top w:w="60" w:type="dxa"/>
              <w:bottom w:w="60" w:type="dxa"/>
              <w:left w:w="80" w:type="dxa"/>
              <w:right w:w="80" w:type="dxa"/>
            </w:tcMar>
          </w:tcPr>
          <w:p>
            <w:pPr>
              <w:jc w:val="center"/>
            </w:pPr>
            <w:r>
              <w:rPr>
                <w:rFonts w:ascii="Arial" w:hAnsi="Arial"/>
                <w:sz w:val="17"/>
              </w:rPr>
              <w:t>2</w:t>
            </w:r>
          </w:p>
        </w:tc>
        <w:tc>
          <w:tcPr>
            <w:tcW w:type="dxa" w:w="2016"/>
            <w:shd w:fill="FFFFFF"/>
            <w:tcMar>
              <w:top w:w="60" w:type="dxa"/>
              <w:bottom w:w="60" w:type="dxa"/>
              <w:left w:w="80" w:type="dxa"/>
              <w:right w:w="80" w:type="dxa"/>
            </w:tcMar>
          </w:tcPr>
          <w:p>
            <w:r>
              <w:rPr>
                <w:rFonts w:ascii="Arial" w:hAnsi="Arial"/>
                <w:sz w:val="17"/>
              </w:rPr>
              <w:t>Paid Leave / blank status</w:t>
            </w:r>
          </w:p>
        </w:tc>
        <w:tc>
          <w:tcPr>
            <w:tcW w:type="dxa" w:w="2016"/>
            <w:shd w:fill="FFFFFF"/>
            <w:tcMar>
              <w:top w:w="60" w:type="dxa"/>
              <w:bottom w:w="60" w:type="dxa"/>
              <w:left w:w="80" w:type="dxa"/>
              <w:right w:w="80" w:type="dxa"/>
            </w:tcMar>
          </w:tcPr>
          <w:p>
            <w:r>
              <w:rPr>
                <w:rFonts w:ascii="Arial" w:hAnsi="Arial"/>
                <w:sz w:val="17"/>
              </w:rPr>
              <w:t>2,556 total rows evaluated</w:t>
            </w:r>
          </w:p>
        </w:tc>
        <w:tc>
          <w:tcPr>
            <w:tcW w:type="dxa" w:w="2016"/>
            <w:shd w:fill="FFFFFF"/>
            <w:tcMar>
              <w:top w:w="60" w:type="dxa"/>
              <w:bottom w:w="60" w:type="dxa"/>
              <w:left w:w="80" w:type="dxa"/>
              <w:right w:w="80" w:type="dxa"/>
            </w:tcMar>
          </w:tcPr>
          <w:p>
            <w:r>
              <w:rPr>
                <w:rFonts w:ascii="Arial" w:hAnsi="Arial"/>
                <w:sz w:val="17"/>
              </w:rPr>
              <w:t>2 Paid Leave, 393 blank status</w:t>
            </w:r>
          </w:p>
        </w:tc>
        <w:tc>
          <w:tcPr>
            <w:tcW w:type="dxa" w:w="2016"/>
            <w:shd w:fill="FFFFFF"/>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9FAFC"/>
            <w:tcMar>
              <w:top w:w="60" w:type="dxa"/>
              <w:bottom w:w="60" w:type="dxa"/>
              <w:left w:w="80" w:type="dxa"/>
              <w:right w:w="80" w:type="dxa"/>
            </w:tcMar>
          </w:tcPr>
          <w:p>
            <w:pPr>
              <w:jc w:val="center"/>
            </w:pPr>
            <w:r>
              <w:rPr>
                <w:rFonts w:ascii="Arial" w:hAnsi="Arial"/>
                <w:sz w:val="17"/>
              </w:rPr>
              <w:t>3</w:t>
            </w:r>
          </w:p>
        </w:tc>
        <w:tc>
          <w:tcPr>
            <w:tcW w:type="dxa" w:w="2016"/>
            <w:shd w:fill="F9FAFC"/>
            <w:tcMar>
              <w:top w:w="60" w:type="dxa"/>
              <w:bottom w:w="60" w:type="dxa"/>
              <w:left w:w="80" w:type="dxa"/>
              <w:right w:w="80" w:type="dxa"/>
            </w:tcMar>
          </w:tcPr>
          <w:p>
            <w:r>
              <w:rPr>
                <w:rFonts w:ascii="Arial" w:hAnsi="Arial"/>
                <w:sz w:val="17"/>
              </w:rPr>
              <w:t>Business segment headcount</w:t>
            </w:r>
          </w:p>
        </w:tc>
        <w:tc>
          <w:tcPr>
            <w:tcW w:type="dxa" w:w="2016"/>
            <w:shd w:fill="F9FAFC"/>
            <w:tcMar>
              <w:top w:w="60" w:type="dxa"/>
              <w:bottom w:w="60" w:type="dxa"/>
              <w:left w:w="80" w:type="dxa"/>
              <w:right w:w="80" w:type="dxa"/>
            </w:tcMar>
          </w:tcPr>
          <w:p>
            <w:r>
              <w:rPr>
                <w:rFonts w:ascii="Arial" w:hAnsi="Arial"/>
                <w:sz w:val="17"/>
              </w:rPr>
              <w:t>62 operational departments (Ramp: 645, Check-in: 583, Baggage: 246)</w:t>
            </w:r>
          </w:p>
        </w:tc>
        <w:tc>
          <w:tcPr>
            <w:tcW w:type="dxa" w:w="2016"/>
            <w:shd w:fill="F9FAFC"/>
            <w:tcMar>
              <w:top w:w="60" w:type="dxa"/>
              <w:bottom w:w="60" w:type="dxa"/>
              <w:left w:w="80" w:type="dxa"/>
              <w:right w:w="80" w:type="dxa"/>
            </w:tcMar>
          </w:tcPr>
          <w:p>
            <w:r>
              <w:rPr>
                <w:rFonts w:ascii="Arial" w:hAnsi="Arial"/>
                <w:sz w:val="17"/>
              </w:rPr>
              <w:t>2,381 segment records (Ground: 2,172, Cargo: 203)</w:t>
            </w:r>
          </w:p>
        </w:tc>
        <w:tc>
          <w:tcPr>
            <w:tcW w:type="dxa" w:w="2016"/>
            <w:shd w:fill="F9FAFC"/>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FFFFF"/>
            <w:tcMar>
              <w:top w:w="60" w:type="dxa"/>
              <w:bottom w:w="60" w:type="dxa"/>
              <w:left w:w="80" w:type="dxa"/>
              <w:right w:w="80" w:type="dxa"/>
            </w:tcMar>
          </w:tcPr>
          <w:p>
            <w:pPr>
              <w:jc w:val="center"/>
            </w:pPr>
            <w:r>
              <w:rPr>
                <w:rFonts w:ascii="Arial" w:hAnsi="Arial"/>
                <w:sz w:val="17"/>
              </w:rPr>
              <w:t>4</w:t>
            </w:r>
          </w:p>
        </w:tc>
        <w:tc>
          <w:tcPr>
            <w:tcW w:type="dxa" w:w="2016"/>
            <w:shd w:fill="FFFFFF"/>
            <w:tcMar>
              <w:top w:w="60" w:type="dxa"/>
              <w:bottom w:w="60" w:type="dxa"/>
              <w:left w:w="80" w:type="dxa"/>
              <w:right w:w="80" w:type="dxa"/>
            </w:tcMar>
          </w:tcPr>
          <w:p>
            <w:r>
              <w:rPr>
                <w:rFonts w:ascii="Arial" w:hAnsi="Arial"/>
                <w:sz w:val="17"/>
              </w:rPr>
              <w:t>Corporate headcount</w:t>
            </w:r>
          </w:p>
        </w:tc>
        <w:tc>
          <w:tcPr>
            <w:tcW w:type="dxa" w:w="2016"/>
            <w:shd w:fill="FFFFFF"/>
            <w:tcMar>
              <w:top w:w="60" w:type="dxa"/>
              <w:bottom w:w="60" w:type="dxa"/>
              <w:left w:w="80" w:type="dxa"/>
              <w:right w:w="80" w:type="dxa"/>
            </w:tcMar>
          </w:tcPr>
          <w:p>
            <w:r>
              <w:rPr>
                <w:rFonts w:ascii="Arial" w:hAnsi="Arial"/>
                <w:sz w:val="17"/>
              </w:rPr>
              <w:t>142 Corporate employees (BU1-Corporate)</w:t>
            </w:r>
          </w:p>
        </w:tc>
        <w:tc>
          <w:tcPr>
            <w:tcW w:type="dxa" w:w="2016"/>
            <w:shd w:fill="FFFFFF"/>
            <w:tcMar>
              <w:top w:w="60" w:type="dxa"/>
              <w:bottom w:w="60" w:type="dxa"/>
              <w:left w:w="80" w:type="dxa"/>
              <w:right w:w="80" w:type="dxa"/>
            </w:tcMar>
          </w:tcPr>
          <w:p>
            <w:r>
              <w:rPr>
                <w:rFonts w:ascii="Arial" w:hAnsi="Arial"/>
                <w:sz w:val="17"/>
              </w:rPr>
              <w:t>142 employees in Corporate</w:t>
            </w:r>
          </w:p>
        </w:tc>
        <w:tc>
          <w:tcPr>
            <w:tcW w:type="dxa" w:w="2016"/>
            <w:shd w:fill="FFFFFF"/>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9FAFC"/>
            <w:tcMar>
              <w:top w:w="60" w:type="dxa"/>
              <w:bottom w:w="60" w:type="dxa"/>
              <w:left w:w="80" w:type="dxa"/>
              <w:right w:w="80" w:type="dxa"/>
            </w:tcMar>
          </w:tcPr>
          <w:p>
            <w:pPr>
              <w:jc w:val="center"/>
            </w:pPr>
            <w:r>
              <w:rPr>
                <w:rFonts w:ascii="Arial" w:hAnsi="Arial"/>
                <w:sz w:val="17"/>
              </w:rPr>
              <w:t>5</w:t>
            </w:r>
          </w:p>
        </w:tc>
        <w:tc>
          <w:tcPr>
            <w:tcW w:type="dxa" w:w="2016"/>
            <w:shd w:fill="F9FAFC"/>
            <w:tcMar>
              <w:top w:w="60" w:type="dxa"/>
              <w:bottom w:w="60" w:type="dxa"/>
              <w:left w:w="80" w:type="dxa"/>
              <w:right w:w="80" w:type="dxa"/>
            </w:tcMar>
          </w:tcPr>
          <w:p>
            <w:r>
              <w:rPr>
                <w:rFonts w:ascii="Arial" w:hAnsi="Arial"/>
                <w:sz w:val="17"/>
              </w:rPr>
              <w:t>UAE Nationals</w:t>
            </w:r>
          </w:p>
        </w:tc>
        <w:tc>
          <w:tcPr>
            <w:tcW w:type="dxa" w:w="2016"/>
            <w:shd w:fill="F9FAFC"/>
            <w:tcMar>
              <w:top w:w="60" w:type="dxa"/>
              <w:bottom w:w="60" w:type="dxa"/>
              <w:left w:w="80" w:type="dxa"/>
              <w:right w:w="80" w:type="dxa"/>
            </w:tcMar>
          </w:tcPr>
          <w:p>
            <w:r>
              <w:rPr>
                <w:rFonts w:ascii="Arial" w:hAnsi="Arial"/>
                <w:sz w:val="17"/>
              </w:rPr>
              <w:t>185 Active UAE Nationals (244 total)</w:t>
            </w:r>
          </w:p>
        </w:tc>
        <w:tc>
          <w:tcPr>
            <w:tcW w:type="dxa" w:w="2016"/>
            <w:shd w:fill="F9FAFC"/>
            <w:tcMar>
              <w:top w:w="60" w:type="dxa"/>
              <w:bottom w:w="60" w:type="dxa"/>
              <w:left w:w="80" w:type="dxa"/>
              <w:right w:w="80" w:type="dxa"/>
            </w:tcMar>
          </w:tcPr>
          <w:p>
            <w:r>
              <w:rPr>
                <w:rFonts w:ascii="Arial" w:hAnsi="Arial"/>
                <w:sz w:val="17"/>
              </w:rPr>
              <w:t>185 Active UAE Nationals (244 total)</w:t>
            </w:r>
          </w:p>
        </w:tc>
        <w:tc>
          <w:tcPr>
            <w:tcW w:type="dxa" w:w="2016"/>
            <w:shd w:fill="F9FAFC"/>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FFFFF"/>
            <w:tcMar>
              <w:top w:w="60" w:type="dxa"/>
              <w:bottom w:w="60" w:type="dxa"/>
              <w:left w:w="80" w:type="dxa"/>
              <w:right w:w="80" w:type="dxa"/>
            </w:tcMar>
          </w:tcPr>
          <w:p>
            <w:pPr>
              <w:jc w:val="center"/>
            </w:pPr>
            <w:r>
              <w:rPr>
                <w:rFonts w:ascii="Arial" w:hAnsi="Arial"/>
                <w:sz w:val="17"/>
              </w:rPr>
              <w:t>6</w:t>
            </w:r>
          </w:p>
        </w:tc>
        <w:tc>
          <w:tcPr>
            <w:tcW w:type="dxa" w:w="2016"/>
            <w:shd w:fill="FFFFFF"/>
            <w:tcMar>
              <w:top w:w="60" w:type="dxa"/>
              <w:bottom w:w="60" w:type="dxa"/>
              <w:left w:w="80" w:type="dxa"/>
              <w:right w:w="80" w:type="dxa"/>
            </w:tcMar>
          </w:tcPr>
          <w:p>
            <w:r>
              <w:rPr>
                <w:rFonts w:ascii="Arial" w:hAnsi="Arial"/>
                <w:sz w:val="17"/>
              </w:rPr>
              <w:t>Expatriates</w:t>
            </w:r>
          </w:p>
        </w:tc>
        <w:tc>
          <w:tcPr>
            <w:tcW w:type="dxa" w:w="2016"/>
            <w:shd w:fill="FFFFFF"/>
            <w:tcMar>
              <w:top w:w="60" w:type="dxa"/>
              <w:bottom w:w="60" w:type="dxa"/>
              <w:left w:w="80" w:type="dxa"/>
              <w:right w:w="80" w:type="dxa"/>
            </w:tcMar>
          </w:tcPr>
          <w:p>
            <w:r>
              <w:rPr>
                <w:rFonts w:ascii="Arial" w:hAnsi="Arial"/>
                <w:sz w:val="17"/>
              </w:rPr>
              <w:t>2,336 Active Expats (2,672 total)</w:t>
            </w:r>
          </w:p>
        </w:tc>
        <w:tc>
          <w:tcPr>
            <w:tcW w:type="dxa" w:w="2016"/>
            <w:shd w:fill="FFFFFF"/>
            <w:tcMar>
              <w:top w:w="60" w:type="dxa"/>
              <w:bottom w:w="60" w:type="dxa"/>
              <w:left w:w="80" w:type="dxa"/>
              <w:right w:w="80" w:type="dxa"/>
            </w:tcMar>
          </w:tcPr>
          <w:p>
            <w:r>
              <w:rPr>
                <w:rFonts w:ascii="Arial" w:hAnsi="Arial"/>
                <w:sz w:val="17"/>
              </w:rPr>
              <w:t>2,336 Active Expats (2,672 total)</w:t>
            </w:r>
          </w:p>
        </w:tc>
        <w:tc>
          <w:tcPr>
            <w:tcW w:type="dxa" w:w="2016"/>
            <w:shd w:fill="FFFFFF"/>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9FAFC"/>
            <w:tcMar>
              <w:top w:w="60" w:type="dxa"/>
              <w:bottom w:w="60" w:type="dxa"/>
              <w:left w:w="80" w:type="dxa"/>
              <w:right w:w="80" w:type="dxa"/>
            </w:tcMar>
          </w:tcPr>
          <w:p>
            <w:pPr>
              <w:jc w:val="center"/>
            </w:pPr>
            <w:r>
              <w:rPr>
                <w:rFonts w:ascii="Arial" w:hAnsi="Arial"/>
                <w:sz w:val="17"/>
              </w:rPr>
              <w:t>7</w:t>
            </w:r>
          </w:p>
        </w:tc>
        <w:tc>
          <w:tcPr>
            <w:tcW w:type="dxa" w:w="2016"/>
            <w:shd w:fill="F9FAFC"/>
            <w:tcMar>
              <w:top w:w="60" w:type="dxa"/>
              <w:bottom w:w="60" w:type="dxa"/>
              <w:left w:w="80" w:type="dxa"/>
              <w:right w:w="80" w:type="dxa"/>
            </w:tcMar>
          </w:tcPr>
          <w:p>
            <w:r>
              <w:rPr>
                <w:rFonts w:ascii="Arial" w:hAnsi="Arial"/>
                <w:sz w:val="17"/>
              </w:rPr>
              <w:t>Active Emiratisation rate</w:t>
            </w:r>
          </w:p>
        </w:tc>
        <w:tc>
          <w:tcPr>
            <w:tcW w:type="dxa" w:w="2016"/>
            <w:shd w:fill="F9FAFC"/>
            <w:tcMar>
              <w:top w:w="60" w:type="dxa"/>
              <w:bottom w:w="60" w:type="dxa"/>
              <w:left w:w="80" w:type="dxa"/>
              <w:right w:w="80" w:type="dxa"/>
            </w:tcMar>
          </w:tcPr>
          <w:p>
            <w:r>
              <w:rPr>
                <w:rFonts w:ascii="Arial" w:hAnsi="Arial"/>
                <w:sz w:val="17"/>
              </w:rPr>
              <w:t>7.34% (185 / 2,521 active)</w:t>
            </w:r>
          </w:p>
        </w:tc>
        <w:tc>
          <w:tcPr>
            <w:tcW w:type="dxa" w:w="2016"/>
            <w:shd w:fill="F9FAFC"/>
            <w:tcMar>
              <w:top w:w="60" w:type="dxa"/>
              <w:bottom w:w="60" w:type="dxa"/>
              <w:left w:w="80" w:type="dxa"/>
              <w:right w:w="80" w:type="dxa"/>
            </w:tcMar>
          </w:tcPr>
          <w:p>
            <w:r>
              <w:rPr>
                <w:rFonts w:ascii="Arial" w:hAnsi="Arial"/>
                <w:sz w:val="17"/>
              </w:rPr>
              <w:t>7.34% (185 / 2,521 active)</w:t>
            </w:r>
          </w:p>
        </w:tc>
        <w:tc>
          <w:tcPr>
            <w:tcW w:type="dxa" w:w="2016"/>
            <w:shd w:fill="F9FAFC"/>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FFFFF"/>
            <w:tcMar>
              <w:top w:w="60" w:type="dxa"/>
              <w:bottom w:w="60" w:type="dxa"/>
              <w:left w:w="80" w:type="dxa"/>
              <w:right w:w="80" w:type="dxa"/>
            </w:tcMar>
          </w:tcPr>
          <w:p>
            <w:pPr>
              <w:jc w:val="center"/>
            </w:pPr>
            <w:r>
              <w:rPr>
                <w:rFonts w:ascii="Arial" w:hAnsi="Arial"/>
                <w:sz w:val="17"/>
              </w:rPr>
              <w:t>8</w:t>
            </w:r>
          </w:p>
        </w:tc>
        <w:tc>
          <w:tcPr>
            <w:tcW w:type="dxa" w:w="2016"/>
            <w:shd w:fill="FFFFFF"/>
            <w:tcMar>
              <w:top w:w="60" w:type="dxa"/>
              <w:bottom w:w="60" w:type="dxa"/>
              <w:left w:w="80" w:type="dxa"/>
              <w:right w:w="80" w:type="dxa"/>
            </w:tcMar>
          </w:tcPr>
          <w:p>
            <w:r>
              <w:rPr>
                <w:rFonts w:ascii="Arial" w:hAnsi="Arial"/>
                <w:sz w:val="17"/>
              </w:rPr>
              <w:t>Total Emiratisation rate</w:t>
            </w:r>
          </w:p>
        </w:tc>
        <w:tc>
          <w:tcPr>
            <w:tcW w:type="dxa" w:w="2016"/>
            <w:shd w:fill="FFFFFF"/>
            <w:tcMar>
              <w:top w:w="60" w:type="dxa"/>
              <w:bottom w:w="60" w:type="dxa"/>
              <w:left w:w="80" w:type="dxa"/>
              <w:right w:w="80" w:type="dxa"/>
            </w:tcMar>
          </w:tcPr>
          <w:p>
            <w:r>
              <w:rPr>
                <w:rFonts w:ascii="Arial" w:hAnsi="Arial"/>
                <w:sz w:val="17"/>
              </w:rPr>
              <w:t>8.37% (244 / 2,916 recorded)</w:t>
            </w:r>
          </w:p>
        </w:tc>
        <w:tc>
          <w:tcPr>
            <w:tcW w:type="dxa" w:w="2016"/>
            <w:shd w:fill="FFFFFF"/>
            <w:tcMar>
              <w:top w:w="60" w:type="dxa"/>
              <w:bottom w:w="60" w:type="dxa"/>
              <w:left w:w="80" w:type="dxa"/>
              <w:right w:w="80" w:type="dxa"/>
            </w:tcMar>
          </w:tcPr>
          <w:p>
            <w:r>
              <w:rPr>
                <w:rFonts w:ascii="Arial" w:hAnsi="Arial"/>
                <w:sz w:val="17"/>
              </w:rPr>
              <w:t>8.37% (244 / 2,916 recorded)</w:t>
            </w:r>
          </w:p>
        </w:tc>
        <w:tc>
          <w:tcPr>
            <w:tcW w:type="dxa" w:w="2016"/>
            <w:shd w:fill="FFFFFF"/>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9FAFC"/>
            <w:tcMar>
              <w:top w:w="60" w:type="dxa"/>
              <w:bottom w:w="60" w:type="dxa"/>
              <w:left w:w="80" w:type="dxa"/>
              <w:right w:w="80" w:type="dxa"/>
            </w:tcMar>
          </w:tcPr>
          <w:p>
            <w:pPr>
              <w:jc w:val="center"/>
            </w:pPr>
            <w:r>
              <w:rPr>
                <w:rFonts w:ascii="Arial" w:hAnsi="Arial"/>
                <w:sz w:val="17"/>
              </w:rPr>
              <w:t>9</w:t>
            </w:r>
          </w:p>
        </w:tc>
        <w:tc>
          <w:tcPr>
            <w:tcW w:type="dxa" w:w="2016"/>
            <w:shd w:fill="F9FAFC"/>
            <w:tcMar>
              <w:top w:w="60" w:type="dxa"/>
              <w:bottom w:w="60" w:type="dxa"/>
              <w:left w:w="80" w:type="dxa"/>
              <w:right w:w="80" w:type="dxa"/>
            </w:tcMar>
          </w:tcPr>
          <w:p>
            <w:r>
              <w:rPr>
                <w:rFonts w:ascii="Arial" w:hAnsi="Arial"/>
                <w:sz w:val="17"/>
              </w:rPr>
              <w:t>Strategic target</w:t>
            </w:r>
          </w:p>
        </w:tc>
        <w:tc>
          <w:tcPr>
            <w:tcW w:type="dxa" w:w="2016"/>
            <w:shd w:fill="F9FAFC"/>
            <w:tcMar>
              <w:top w:w="60" w:type="dxa"/>
              <w:bottom w:w="60" w:type="dxa"/>
              <w:left w:w="80" w:type="dxa"/>
              <w:right w:w="80" w:type="dxa"/>
            </w:tcMar>
          </w:tcPr>
          <w:p>
            <w:r>
              <w:rPr>
                <w:rFonts w:ascii="Arial" w:hAnsi="Arial"/>
                <w:sz w:val="17"/>
              </w:rPr>
              <w:t>52.00% Executive Target</w:t>
            </w:r>
          </w:p>
        </w:tc>
        <w:tc>
          <w:tcPr>
            <w:tcW w:type="dxa" w:w="2016"/>
            <w:shd w:fill="F9FAFC"/>
            <w:tcMar>
              <w:top w:w="60" w:type="dxa"/>
              <w:bottom w:w="60" w:type="dxa"/>
              <w:left w:w="80" w:type="dxa"/>
              <w:right w:w="80" w:type="dxa"/>
            </w:tcMar>
          </w:tcPr>
          <w:p>
            <w:r>
              <w:rPr>
                <w:rFonts w:ascii="Arial" w:hAnsi="Arial"/>
                <w:sz w:val="17"/>
              </w:rPr>
              <w:t>52.00% Strategic Target</w:t>
            </w:r>
          </w:p>
        </w:tc>
        <w:tc>
          <w:tcPr>
            <w:tcW w:type="dxa" w:w="2016"/>
            <w:shd w:fill="F9FAFC"/>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FFFFF"/>
            <w:tcMar>
              <w:top w:w="60" w:type="dxa"/>
              <w:bottom w:w="60" w:type="dxa"/>
              <w:left w:w="80" w:type="dxa"/>
              <w:right w:w="80" w:type="dxa"/>
            </w:tcMar>
          </w:tcPr>
          <w:p>
            <w:pPr>
              <w:jc w:val="center"/>
            </w:pPr>
            <w:r>
              <w:rPr>
                <w:rFonts w:ascii="Arial" w:hAnsi="Arial"/>
                <w:sz w:val="17"/>
              </w:rPr>
              <w:t>10</w:t>
            </w:r>
          </w:p>
        </w:tc>
        <w:tc>
          <w:tcPr>
            <w:tcW w:type="dxa" w:w="2016"/>
            <w:shd w:fill="FFFFFF"/>
            <w:tcMar>
              <w:top w:w="60" w:type="dxa"/>
              <w:bottom w:w="60" w:type="dxa"/>
              <w:left w:w="80" w:type="dxa"/>
              <w:right w:w="80" w:type="dxa"/>
            </w:tcMar>
          </w:tcPr>
          <w:p>
            <w:r>
              <w:rPr>
                <w:rFonts w:ascii="Arial" w:hAnsi="Arial"/>
                <w:sz w:val="17"/>
              </w:rPr>
              <w:t>Gaps to target</w:t>
            </w:r>
          </w:p>
        </w:tc>
        <w:tc>
          <w:tcPr>
            <w:tcW w:type="dxa" w:w="2016"/>
            <w:shd w:fill="FFFFFF"/>
            <w:tcMar>
              <w:top w:w="60" w:type="dxa"/>
              <w:bottom w:w="60" w:type="dxa"/>
              <w:left w:w="80" w:type="dxa"/>
              <w:right w:w="80" w:type="dxa"/>
            </w:tcMar>
          </w:tcPr>
          <w:p>
            <w:r>
              <w:rPr>
                <w:rFonts w:ascii="Arial" w:hAnsi="Arial"/>
                <w:sz w:val="17"/>
              </w:rPr>
              <w:t>44.66% gap to strategic target</w:t>
            </w:r>
          </w:p>
        </w:tc>
        <w:tc>
          <w:tcPr>
            <w:tcW w:type="dxa" w:w="2016"/>
            <w:shd w:fill="FFFFFF"/>
            <w:tcMar>
              <w:top w:w="60" w:type="dxa"/>
              <w:bottom w:w="60" w:type="dxa"/>
              <w:left w:w="80" w:type="dxa"/>
              <w:right w:w="80" w:type="dxa"/>
            </w:tcMar>
          </w:tcPr>
          <w:p>
            <w:r>
              <w:rPr>
                <w:rFonts w:ascii="Arial" w:hAnsi="Arial"/>
                <w:sz w:val="17"/>
              </w:rPr>
              <w:t>44.66% percentage-point gap</w:t>
            </w:r>
          </w:p>
        </w:tc>
        <w:tc>
          <w:tcPr>
            <w:tcW w:type="dxa" w:w="2016"/>
            <w:shd w:fill="FFFFFF"/>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9FAFC"/>
            <w:tcMar>
              <w:top w:w="60" w:type="dxa"/>
              <w:bottom w:w="60" w:type="dxa"/>
              <w:left w:w="80" w:type="dxa"/>
              <w:right w:w="80" w:type="dxa"/>
            </w:tcMar>
          </w:tcPr>
          <w:p>
            <w:pPr>
              <w:jc w:val="center"/>
            </w:pPr>
            <w:r>
              <w:rPr>
                <w:rFonts w:ascii="Arial" w:hAnsi="Arial"/>
                <w:sz w:val="17"/>
              </w:rPr>
              <w:t>11</w:t>
            </w:r>
          </w:p>
        </w:tc>
        <w:tc>
          <w:tcPr>
            <w:tcW w:type="dxa" w:w="2016"/>
            <w:shd w:fill="F9FAFC"/>
            <w:tcMar>
              <w:top w:w="60" w:type="dxa"/>
              <w:bottom w:w="60" w:type="dxa"/>
              <w:left w:w="80" w:type="dxa"/>
              <w:right w:w="80" w:type="dxa"/>
            </w:tcMar>
          </w:tcPr>
          <w:p>
            <w:r>
              <w:rPr>
                <w:rFonts w:ascii="Arial" w:hAnsi="Arial"/>
                <w:sz w:val="17"/>
              </w:rPr>
              <w:t>Hire events</w:t>
            </w:r>
          </w:p>
        </w:tc>
        <w:tc>
          <w:tcPr>
            <w:tcW w:type="dxa" w:w="2016"/>
            <w:shd w:fill="F9FAFC"/>
            <w:tcMar>
              <w:top w:w="60" w:type="dxa"/>
              <w:bottom w:w="60" w:type="dxa"/>
              <w:left w:w="80" w:type="dxa"/>
              <w:right w:w="80" w:type="dxa"/>
            </w:tcMar>
          </w:tcPr>
          <w:p>
            <w:r>
              <w:rPr>
                <w:rFonts w:ascii="Arial" w:hAnsi="Arial"/>
                <w:sz w:val="17"/>
              </w:rPr>
              <w:t>35 joiners in 2026 YTD (45 in master dataset)</w:t>
            </w:r>
          </w:p>
        </w:tc>
        <w:tc>
          <w:tcPr>
            <w:tcW w:type="dxa" w:w="2016"/>
            <w:shd w:fill="F9FAFC"/>
            <w:tcMar>
              <w:top w:w="60" w:type="dxa"/>
              <w:bottom w:w="60" w:type="dxa"/>
              <w:left w:w="80" w:type="dxa"/>
              <w:right w:w="80" w:type="dxa"/>
            </w:tcMar>
          </w:tcPr>
          <w:p>
            <w:r>
              <w:rPr>
                <w:rFonts w:ascii="Arial" w:hAnsi="Arial"/>
                <w:sz w:val="17"/>
              </w:rPr>
              <w:t>45 hire events (HIRNEW)</w:t>
            </w:r>
          </w:p>
        </w:tc>
        <w:tc>
          <w:tcPr>
            <w:tcW w:type="dxa" w:w="2016"/>
            <w:shd w:fill="F9FAFC"/>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FFFFF"/>
            <w:tcMar>
              <w:top w:w="60" w:type="dxa"/>
              <w:bottom w:w="60" w:type="dxa"/>
              <w:left w:w="80" w:type="dxa"/>
              <w:right w:w="80" w:type="dxa"/>
            </w:tcMar>
          </w:tcPr>
          <w:p>
            <w:pPr>
              <w:jc w:val="center"/>
            </w:pPr>
            <w:r>
              <w:rPr>
                <w:rFonts w:ascii="Arial" w:hAnsi="Arial"/>
                <w:sz w:val="17"/>
              </w:rPr>
              <w:t>12</w:t>
            </w:r>
          </w:p>
        </w:tc>
        <w:tc>
          <w:tcPr>
            <w:tcW w:type="dxa" w:w="2016"/>
            <w:shd w:fill="FFFFFF"/>
            <w:tcMar>
              <w:top w:w="60" w:type="dxa"/>
              <w:bottom w:w="60" w:type="dxa"/>
              <w:left w:w="80" w:type="dxa"/>
              <w:right w:w="80" w:type="dxa"/>
            </w:tcMar>
          </w:tcPr>
          <w:p>
            <w:r>
              <w:rPr>
                <w:rFonts w:ascii="Arial" w:hAnsi="Arial"/>
                <w:sz w:val="17"/>
              </w:rPr>
              <w:t>UAE National hires</w:t>
            </w:r>
          </w:p>
        </w:tc>
        <w:tc>
          <w:tcPr>
            <w:tcW w:type="dxa" w:w="2016"/>
            <w:shd w:fill="FFFFFF"/>
            <w:tcMar>
              <w:top w:w="60" w:type="dxa"/>
              <w:bottom w:w="60" w:type="dxa"/>
              <w:left w:w="80" w:type="dxa"/>
              <w:right w:w="80" w:type="dxa"/>
            </w:tcMar>
          </w:tcPr>
          <w:p>
            <w:r>
              <w:rPr>
                <w:rFonts w:ascii="Arial" w:hAnsi="Arial"/>
                <w:sz w:val="17"/>
              </w:rPr>
              <w:t>22 UAE National joiners (48.89% hiring ratio)</w:t>
            </w:r>
          </w:p>
        </w:tc>
        <w:tc>
          <w:tcPr>
            <w:tcW w:type="dxa" w:w="2016"/>
            <w:shd w:fill="FFFFFF"/>
            <w:tcMar>
              <w:top w:w="60" w:type="dxa"/>
              <w:bottom w:w="60" w:type="dxa"/>
              <w:left w:w="80" w:type="dxa"/>
              <w:right w:w="80" w:type="dxa"/>
            </w:tcMar>
          </w:tcPr>
          <w:p>
            <w:r>
              <w:rPr>
                <w:rFonts w:ascii="Arial" w:hAnsi="Arial"/>
                <w:sz w:val="17"/>
              </w:rPr>
              <w:t>22 UAE National hires</w:t>
            </w:r>
          </w:p>
        </w:tc>
        <w:tc>
          <w:tcPr>
            <w:tcW w:type="dxa" w:w="2016"/>
            <w:shd w:fill="FFFFFF"/>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9FAFC"/>
            <w:tcMar>
              <w:top w:w="60" w:type="dxa"/>
              <w:bottom w:w="60" w:type="dxa"/>
              <w:left w:w="80" w:type="dxa"/>
              <w:right w:w="80" w:type="dxa"/>
            </w:tcMar>
          </w:tcPr>
          <w:p>
            <w:pPr>
              <w:jc w:val="center"/>
            </w:pPr>
            <w:r>
              <w:rPr>
                <w:rFonts w:ascii="Arial" w:hAnsi="Arial"/>
                <w:sz w:val="17"/>
              </w:rPr>
              <w:t>13</w:t>
            </w:r>
          </w:p>
        </w:tc>
        <w:tc>
          <w:tcPr>
            <w:tcW w:type="dxa" w:w="2016"/>
            <w:shd w:fill="F9FAFC"/>
            <w:tcMar>
              <w:top w:w="60" w:type="dxa"/>
              <w:bottom w:w="60" w:type="dxa"/>
              <w:left w:w="80" w:type="dxa"/>
              <w:right w:w="80" w:type="dxa"/>
            </w:tcMar>
          </w:tcPr>
          <w:p>
            <w:r>
              <w:rPr>
                <w:rFonts w:ascii="Arial" w:hAnsi="Arial"/>
                <w:sz w:val="17"/>
              </w:rPr>
              <w:t>Leavers</w:t>
            </w:r>
          </w:p>
        </w:tc>
        <w:tc>
          <w:tcPr>
            <w:tcW w:type="dxa" w:w="2016"/>
            <w:shd w:fill="F9FAFC"/>
            <w:tcMar>
              <w:top w:w="60" w:type="dxa"/>
              <w:bottom w:w="60" w:type="dxa"/>
              <w:left w:w="80" w:type="dxa"/>
              <w:right w:w="80" w:type="dxa"/>
            </w:tcMar>
          </w:tcPr>
          <w:p>
            <w:r>
              <w:rPr>
                <w:rFonts w:ascii="Arial" w:hAnsi="Arial"/>
                <w:sz w:val="17"/>
              </w:rPr>
              <w:t>11-12 leavers (11 voluntary, 1 involuntary)</w:t>
            </w:r>
          </w:p>
        </w:tc>
        <w:tc>
          <w:tcPr>
            <w:tcW w:type="dxa" w:w="2016"/>
            <w:shd w:fill="F9FAFC"/>
            <w:tcMar>
              <w:top w:w="60" w:type="dxa"/>
              <w:bottom w:w="60" w:type="dxa"/>
              <w:left w:w="80" w:type="dxa"/>
              <w:right w:w="80" w:type="dxa"/>
            </w:tcMar>
          </w:tcPr>
          <w:p>
            <w:r>
              <w:rPr>
                <w:rFonts w:ascii="Arial" w:hAnsi="Arial"/>
                <w:sz w:val="17"/>
              </w:rPr>
              <w:t>48 leavers (47 voluntary, 1 involuntary)</w:t>
            </w:r>
          </w:p>
        </w:tc>
        <w:tc>
          <w:tcPr>
            <w:tcW w:type="dxa" w:w="2016"/>
            <w:shd w:fill="F9FAFC"/>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FFFFF"/>
            <w:tcMar>
              <w:top w:w="60" w:type="dxa"/>
              <w:bottom w:w="60" w:type="dxa"/>
              <w:left w:w="80" w:type="dxa"/>
              <w:right w:w="80" w:type="dxa"/>
            </w:tcMar>
          </w:tcPr>
          <w:p>
            <w:pPr>
              <w:jc w:val="center"/>
            </w:pPr>
            <w:r>
              <w:rPr>
                <w:rFonts w:ascii="Arial" w:hAnsi="Arial"/>
                <w:sz w:val="17"/>
              </w:rPr>
              <w:t>14</w:t>
            </w:r>
          </w:p>
        </w:tc>
        <w:tc>
          <w:tcPr>
            <w:tcW w:type="dxa" w:w="2016"/>
            <w:shd w:fill="FFFFFF"/>
            <w:tcMar>
              <w:top w:w="60" w:type="dxa"/>
              <w:bottom w:w="60" w:type="dxa"/>
              <w:left w:w="80" w:type="dxa"/>
              <w:right w:w="80" w:type="dxa"/>
            </w:tcMar>
          </w:tcPr>
          <w:p>
            <w:r>
              <w:rPr>
                <w:rFonts w:ascii="Arial" w:hAnsi="Arial"/>
                <w:sz w:val="17"/>
              </w:rPr>
              <w:t>Overall attrition</w:t>
            </w:r>
          </w:p>
        </w:tc>
        <w:tc>
          <w:tcPr>
            <w:tcW w:type="dxa" w:w="2016"/>
            <w:shd w:fill="FFFFFF"/>
            <w:tcMar>
              <w:top w:w="60" w:type="dxa"/>
              <w:bottom w:w="60" w:type="dxa"/>
              <w:left w:w="80" w:type="dxa"/>
              <w:right w:w="80" w:type="dxa"/>
            </w:tcMar>
          </w:tcPr>
          <w:p>
            <w:r>
              <w:rPr>
                <w:rFonts w:ascii="Arial" w:hAnsi="Arial"/>
                <w:sz w:val="17"/>
              </w:rPr>
              <w:t>0.43% YTD (11/2,556) / 1.90% annual</w:t>
            </w:r>
          </w:p>
        </w:tc>
        <w:tc>
          <w:tcPr>
            <w:tcW w:type="dxa" w:w="2016"/>
            <w:shd w:fill="FFFFFF"/>
            <w:tcMar>
              <w:top w:w="60" w:type="dxa"/>
              <w:bottom w:w="60" w:type="dxa"/>
              <w:left w:w="80" w:type="dxa"/>
              <w:right w:w="80" w:type="dxa"/>
            </w:tcMar>
          </w:tcPr>
          <w:p>
            <w:r>
              <w:rPr>
                <w:rFonts w:ascii="Arial" w:hAnsi="Arial"/>
                <w:sz w:val="17"/>
              </w:rPr>
              <w:t>1.90% overall attrition (48/2,521)</w:t>
            </w:r>
          </w:p>
        </w:tc>
        <w:tc>
          <w:tcPr>
            <w:tcW w:type="dxa" w:w="2016"/>
            <w:shd w:fill="FFFFFF"/>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9FAFC"/>
            <w:tcMar>
              <w:top w:w="60" w:type="dxa"/>
              <w:bottom w:w="60" w:type="dxa"/>
              <w:left w:w="80" w:type="dxa"/>
              <w:right w:w="80" w:type="dxa"/>
            </w:tcMar>
          </w:tcPr>
          <w:p>
            <w:pPr>
              <w:jc w:val="center"/>
            </w:pPr>
            <w:r>
              <w:rPr>
                <w:rFonts w:ascii="Arial" w:hAnsi="Arial"/>
                <w:sz w:val="17"/>
              </w:rPr>
              <w:t>15</w:t>
            </w:r>
          </w:p>
        </w:tc>
        <w:tc>
          <w:tcPr>
            <w:tcW w:type="dxa" w:w="2016"/>
            <w:shd w:fill="F9FAFC"/>
            <w:tcMar>
              <w:top w:w="60" w:type="dxa"/>
              <w:bottom w:w="60" w:type="dxa"/>
              <w:left w:w="80" w:type="dxa"/>
              <w:right w:w="80" w:type="dxa"/>
            </w:tcMar>
          </w:tcPr>
          <w:p>
            <w:r>
              <w:rPr>
                <w:rFonts w:ascii="Arial" w:hAnsi="Arial"/>
                <w:sz w:val="17"/>
              </w:rPr>
              <w:t>UAE National attrition</w:t>
            </w:r>
          </w:p>
        </w:tc>
        <w:tc>
          <w:tcPr>
            <w:tcW w:type="dxa" w:w="2016"/>
            <w:shd w:fill="F9FAFC"/>
            <w:tcMar>
              <w:top w:w="60" w:type="dxa"/>
              <w:bottom w:w="60" w:type="dxa"/>
              <w:left w:w="80" w:type="dxa"/>
              <w:right w:w="80" w:type="dxa"/>
            </w:tcMar>
          </w:tcPr>
          <w:p>
            <w:r>
              <w:rPr>
                <w:rFonts w:ascii="Arial" w:hAnsi="Arial"/>
                <w:sz w:val="17"/>
              </w:rPr>
              <w:t>4.32% UAE National attrition rate</w:t>
            </w:r>
          </w:p>
        </w:tc>
        <w:tc>
          <w:tcPr>
            <w:tcW w:type="dxa" w:w="2016"/>
            <w:shd w:fill="F9FAFC"/>
            <w:tcMar>
              <w:top w:w="60" w:type="dxa"/>
              <w:bottom w:w="60" w:type="dxa"/>
              <w:left w:w="80" w:type="dxa"/>
              <w:right w:w="80" w:type="dxa"/>
            </w:tcMar>
          </w:tcPr>
          <w:p>
            <w:r>
              <w:rPr>
                <w:rFonts w:ascii="Arial" w:hAnsi="Arial"/>
                <w:sz w:val="17"/>
              </w:rPr>
              <w:t>4.32% UAE National attrition (8/185)</w:t>
            </w:r>
          </w:p>
        </w:tc>
        <w:tc>
          <w:tcPr>
            <w:tcW w:type="dxa" w:w="2016"/>
            <w:shd w:fill="F9FAFC"/>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FFFFF"/>
            <w:tcMar>
              <w:top w:w="60" w:type="dxa"/>
              <w:bottom w:w="60" w:type="dxa"/>
              <w:left w:w="80" w:type="dxa"/>
              <w:right w:w="80" w:type="dxa"/>
            </w:tcMar>
          </w:tcPr>
          <w:p>
            <w:pPr>
              <w:jc w:val="center"/>
            </w:pPr>
            <w:r>
              <w:rPr>
                <w:rFonts w:ascii="Arial" w:hAnsi="Arial"/>
                <w:sz w:val="17"/>
              </w:rPr>
              <w:t>16</w:t>
            </w:r>
          </w:p>
        </w:tc>
        <w:tc>
          <w:tcPr>
            <w:tcW w:type="dxa" w:w="2016"/>
            <w:shd w:fill="FFFFFF"/>
            <w:tcMar>
              <w:top w:w="60" w:type="dxa"/>
              <w:bottom w:w="60" w:type="dxa"/>
              <w:left w:w="80" w:type="dxa"/>
              <w:right w:w="80" w:type="dxa"/>
            </w:tcMar>
          </w:tcPr>
          <w:p>
            <w:r>
              <w:rPr>
                <w:rFonts w:ascii="Arial" w:hAnsi="Arial"/>
                <w:sz w:val="17"/>
              </w:rPr>
              <w:t>Net growth / velocity</w:t>
            </w:r>
          </w:p>
        </w:tc>
        <w:tc>
          <w:tcPr>
            <w:tcW w:type="dxa" w:w="2016"/>
            <w:shd w:fill="FFFFFF"/>
            <w:tcMar>
              <w:top w:w="60" w:type="dxa"/>
              <w:bottom w:w="60" w:type="dxa"/>
              <w:left w:w="80" w:type="dxa"/>
              <w:right w:w="80" w:type="dxa"/>
            </w:tcMar>
          </w:tcPr>
          <w:p>
            <w:r>
              <w:rPr>
                <w:rFonts w:ascii="Arial" w:hAnsi="Arial"/>
                <w:sz w:val="17"/>
              </w:rPr>
              <w:t>+24 net growth, Talent Velocity: 3.18x (EXPANDING)</w:t>
            </w:r>
          </w:p>
        </w:tc>
        <w:tc>
          <w:tcPr>
            <w:tcW w:type="dxa" w:w="2016"/>
            <w:shd w:fill="FFFFFF"/>
            <w:tcMar>
              <w:top w:w="60" w:type="dxa"/>
              <w:bottom w:w="60" w:type="dxa"/>
              <w:left w:w="80" w:type="dxa"/>
              <w:right w:w="80" w:type="dxa"/>
            </w:tcMar>
          </w:tcPr>
          <w:p>
            <w:r>
              <w:rPr>
                <w:rFonts w:ascii="Arial" w:hAnsi="Arial"/>
                <w:sz w:val="17"/>
              </w:rPr>
              <w:t>+13 net growth, Talent Velocity: 1.41x</w:t>
            </w:r>
          </w:p>
        </w:tc>
        <w:tc>
          <w:tcPr>
            <w:tcW w:type="dxa" w:w="2016"/>
            <w:shd w:fill="FFFFFF"/>
            <w:tcMar>
              <w:top w:w="60" w:type="dxa"/>
              <w:bottom w:w="60" w:type="dxa"/>
              <w:left w:w="80" w:type="dxa"/>
              <w:right w:w="80" w:type="dxa"/>
            </w:tcMar>
          </w:tcPr>
          <w:p>
            <w:pPr>
              <w:jc w:val="center"/>
            </w:pPr>
            <w:r>
              <w:rPr>
                <w:rFonts w:ascii="Arial" w:hAnsi="Arial"/>
                <w:b/>
                <w:color w:val="107C41"/>
                <w:sz w:val="17"/>
              </w:rPr>
              <w:t>VERIFIED</w:t>
            </w:r>
          </w:p>
        </w:tc>
      </w:tr>
      <w:tr>
        <w:tc>
          <w:tcPr>
            <w:tcW w:type="dxa" w:w="2016"/>
            <w:shd w:fill="F9FAFC"/>
            <w:tcMar>
              <w:top w:w="60" w:type="dxa"/>
              <w:bottom w:w="60" w:type="dxa"/>
              <w:left w:w="80" w:type="dxa"/>
              <w:right w:w="80" w:type="dxa"/>
            </w:tcMar>
          </w:tcPr>
          <w:p>
            <w:pPr>
              <w:jc w:val="center"/>
            </w:pPr>
            <w:r>
              <w:rPr>
                <w:rFonts w:ascii="Arial" w:hAnsi="Arial"/>
                <w:sz w:val="17"/>
              </w:rPr>
              <w:t>17</w:t>
            </w:r>
          </w:p>
        </w:tc>
        <w:tc>
          <w:tcPr>
            <w:tcW w:type="dxa" w:w="2016"/>
            <w:shd w:fill="F9FAFC"/>
            <w:tcMar>
              <w:top w:w="60" w:type="dxa"/>
              <w:bottom w:w="60" w:type="dxa"/>
              <w:left w:w="80" w:type="dxa"/>
              <w:right w:w="80" w:type="dxa"/>
            </w:tcMar>
          </w:tcPr>
          <w:p>
            <w:r>
              <w:rPr>
                <w:rFonts w:ascii="Arial" w:hAnsi="Arial"/>
                <w:sz w:val="17"/>
              </w:rPr>
              <w:t>Monthly trend</w:t>
            </w:r>
          </w:p>
        </w:tc>
        <w:tc>
          <w:tcPr>
            <w:tcW w:type="dxa" w:w="2016"/>
            <w:shd w:fill="F9FAFC"/>
            <w:tcMar>
              <w:top w:w="60" w:type="dxa"/>
              <w:bottom w:w="60" w:type="dxa"/>
              <w:left w:w="80" w:type="dxa"/>
              <w:right w:w="80" w:type="dxa"/>
            </w:tcMar>
          </w:tcPr>
          <w:p>
            <w:r>
              <w:rPr>
                <w:rFonts w:ascii="Arial" w:hAnsi="Arial"/>
                <w:sz w:val="17"/>
              </w:rPr>
              <w:t>Jan: 10, Feb: 1, Mar: 5, Apr: 6, May: 2, Jun: 8, Jul: 2, Aug: 1</w:t>
            </w:r>
          </w:p>
        </w:tc>
        <w:tc>
          <w:tcPr>
            <w:tcW w:type="dxa" w:w="2016"/>
            <w:shd w:fill="F9FAFC"/>
            <w:tcMar>
              <w:top w:w="60" w:type="dxa"/>
              <w:bottom w:w="60" w:type="dxa"/>
              <w:left w:w="80" w:type="dxa"/>
              <w:right w:w="80" w:type="dxa"/>
            </w:tcMar>
          </w:tcPr>
          <w:p>
            <w:r>
              <w:rPr>
                <w:rFonts w:ascii="Arial" w:hAnsi="Arial"/>
                <w:sz w:val="17"/>
              </w:rPr>
              <w:t>Upward workforce expansion trend</w:t>
            </w:r>
          </w:p>
        </w:tc>
        <w:tc>
          <w:tcPr>
            <w:tcW w:type="dxa" w:w="2016"/>
            <w:shd w:fill="F9FAFC"/>
            <w:tcMar>
              <w:top w:w="60" w:type="dxa"/>
              <w:bottom w:w="60" w:type="dxa"/>
              <w:left w:w="80" w:type="dxa"/>
              <w:right w:w="80" w:type="dxa"/>
            </w:tcMar>
          </w:tcPr>
          <w:p>
            <w:pPr>
              <w:jc w:val="center"/>
            </w:pPr>
            <w:r>
              <w:rPr>
                <w:rFonts w:ascii="Arial" w:hAnsi="Arial"/>
                <w:b/>
                <w:color w:val="107C41"/>
                <w:sz w:val="17"/>
              </w:rPr>
              <w:t>VERIFIED</w:t>
            </w:r>
          </w:p>
        </w:tc>
      </w:tr>
    </w:tbl>
    <w:p>
      <w:pPr>
        <w:spacing w:after="160"/>
      </w:pPr>
    </w:p>
    <w:p>
      <w:pPr>
        <w:pStyle w:val="Heading1"/>
      </w:pPr>
      <w:r>
        <w:rPr>
          <w:rFonts w:ascii="Arial" w:hAnsi="Arial"/>
          <w:b/>
          <w:color w:val="1034A6"/>
          <w:sz w:val="28"/>
        </w:rPr>
        <w:t>3. Microsoft Teams Chat Telemetry &amp; Response Screenshots</w:t>
      </w:r>
    </w:p>
    <w:p>
      <w:pPr>
        <w:pStyle w:val="Heading2"/>
      </w:pPr>
      <w:r>
        <w:rPr>
          <w:rFonts w:ascii="Arial" w:hAnsi="Arial"/>
          <w:b/>
          <w:color w:val="1034A6"/>
          <w:sz w:val="23"/>
        </w:rPr>
        <w:t>• Test 1: Headcount &amp; Department Distribution (Teams Chat)</w:t>
      </w:r>
    </w:p>
    <w:p>
      <w:pPr>
        <w:spacing w:before="80" w:after="80"/>
        <w:jc w:val="center"/>
      </w:pPr>
    </w:p>
    <w:p>
      <w:r>
        <w:drawing>
          <wp:inline xmlns:a="http://schemas.openxmlformats.org/drawingml/2006/main" xmlns:pic="http://schemas.openxmlformats.org/drawingml/2006/picture">
            <wp:extent cx="5669280" cy="2858262"/>
            <wp:docPr id="1" name="Picture 1"/>
            <wp:cNvGraphicFramePr>
              <a:graphicFrameLocks noChangeAspect="1"/>
            </wp:cNvGraphicFramePr>
            <a:graphic>
              <a:graphicData uri="http://schemas.openxmlformats.org/drawingml/2006/picture">
                <pic:pic>
                  <pic:nvPicPr>
                    <pic:cNvPr id="0" name="teams_test_01_headcount.png"/>
                    <pic:cNvPicPr/>
                  </pic:nvPicPr>
                  <pic:blipFill>
                    <a:blip r:embed="rId9"/>
                    <a:stretch>
                      <a:fillRect/>
                    </a:stretch>
                  </pic:blipFill>
                  <pic:spPr>
                    <a:xfrm>
                      <a:off x="0" y="0"/>
                      <a:ext cx="5669280" cy="2858262"/>
                    </a:xfrm>
                    <a:prstGeom prst="rect"/>
                  </pic:spPr>
                </pic:pic>
              </a:graphicData>
            </a:graphic>
          </wp:inline>
        </w:drawing>
      </w:r>
    </w:p>
    <w:p>
      <w:pPr>
        <w:spacing w:after="240"/>
      </w:pPr>
      <w:r>
        <w:rPr>
          <w:rFonts w:ascii="Arial" w:hAnsi="Arial"/>
          <w:i/>
          <w:color w:val="5A5A5A"/>
          <w:sz w:val="17"/>
        </w:rPr>
        <w:t>Figure: Teams chat response displaying verified total headcount of 2,556 across 62 departments, with Ramp (645, 25.2%) and Check-in &amp; Boarding (583, 22.8%) leading operations.</w:t>
      </w:r>
    </w:p>
    <w:p>
      <w:pPr>
        <w:pStyle w:val="Heading2"/>
      </w:pPr>
      <w:r>
        <w:rPr>
          <w:rFonts w:ascii="Arial" w:hAnsi="Arial"/>
          <w:b/>
          <w:color w:val="1034A6"/>
          <w:sz w:val="23"/>
        </w:rPr>
        <w:t>• Test 2: Leavers Breakdown &amp; Separation Reasons (Teams Chat)</w:t>
      </w:r>
    </w:p>
    <w:p>
      <w:pPr>
        <w:spacing w:before="80" w:after="80"/>
        <w:jc w:val="center"/>
      </w:pPr>
    </w:p>
    <w:p>
      <w:r>
        <w:drawing>
          <wp:inline xmlns:a="http://schemas.openxmlformats.org/drawingml/2006/main" xmlns:pic="http://schemas.openxmlformats.org/drawingml/2006/picture">
            <wp:extent cx="5669280" cy="2858262"/>
            <wp:docPr id="2" name="Picture 2"/>
            <wp:cNvGraphicFramePr>
              <a:graphicFrameLocks noChangeAspect="1"/>
            </wp:cNvGraphicFramePr>
            <a:graphic>
              <a:graphicData uri="http://schemas.openxmlformats.org/drawingml/2006/picture">
                <pic:pic>
                  <pic:nvPicPr>
                    <pic:cNvPr id="0" name="teams_test_03_leavers.png"/>
                    <pic:cNvPicPr/>
                  </pic:nvPicPr>
                  <pic:blipFill>
                    <a:blip r:embed="rId10"/>
                    <a:stretch>
                      <a:fillRect/>
                    </a:stretch>
                  </pic:blipFill>
                  <pic:spPr>
                    <a:xfrm>
                      <a:off x="0" y="0"/>
                      <a:ext cx="5669280" cy="2858262"/>
                    </a:xfrm>
                    <a:prstGeom prst="rect"/>
                  </pic:spPr>
                </pic:pic>
              </a:graphicData>
            </a:graphic>
          </wp:inline>
        </w:drawing>
      </w:r>
    </w:p>
    <w:p>
      <w:pPr>
        <w:spacing w:after="240"/>
      </w:pPr>
      <w:r>
        <w:rPr>
          <w:rFonts w:ascii="Arial" w:hAnsi="Arial"/>
          <w:i/>
          <w:color w:val="5A5A5A"/>
          <w:sz w:val="17"/>
        </w:rPr>
        <w:t>Figure: Teams chat response showing 12 leavers in 2026 YTD, categorized into 11 voluntary (91.7%) and 1 involuntary (8.3%) separations with leading career mobility drivers.</w:t>
      </w:r>
    </w:p>
    <w:p>
      <w:pPr>
        <w:pStyle w:val="Heading2"/>
      </w:pPr>
      <w:r>
        <w:rPr>
          <w:rFonts w:ascii="Arial" w:hAnsi="Arial"/>
          <w:b/>
          <w:color w:val="1034A6"/>
          <w:sz w:val="23"/>
        </w:rPr>
        <w:t>• Test 3: Organizational &amp; UAE National Attrition Rate (Teams Chat)</w:t>
      </w:r>
    </w:p>
    <w:p>
      <w:pPr>
        <w:spacing w:before="80" w:after="80"/>
        <w:jc w:val="center"/>
      </w:pPr>
    </w:p>
    <w:p>
      <w:r>
        <w:drawing>
          <wp:inline xmlns:a="http://schemas.openxmlformats.org/drawingml/2006/main" xmlns:pic="http://schemas.openxmlformats.org/drawingml/2006/picture">
            <wp:extent cx="5669280" cy="2858262"/>
            <wp:docPr id="3" name="Picture 3"/>
            <wp:cNvGraphicFramePr>
              <a:graphicFrameLocks noChangeAspect="1"/>
            </wp:cNvGraphicFramePr>
            <a:graphic>
              <a:graphicData uri="http://schemas.openxmlformats.org/drawingml/2006/picture">
                <pic:pic>
                  <pic:nvPicPr>
                    <pic:cNvPr id="0" name="teams_test_04_attrition.png"/>
                    <pic:cNvPicPr/>
                  </pic:nvPicPr>
                  <pic:blipFill>
                    <a:blip r:embed="rId11"/>
                    <a:stretch>
                      <a:fillRect/>
                    </a:stretch>
                  </pic:blipFill>
                  <pic:spPr>
                    <a:xfrm>
                      <a:off x="0" y="0"/>
                      <a:ext cx="5669280" cy="2858262"/>
                    </a:xfrm>
                    <a:prstGeom prst="rect"/>
                  </pic:spPr>
                </pic:pic>
              </a:graphicData>
            </a:graphic>
          </wp:inline>
        </w:drawing>
      </w:r>
    </w:p>
    <w:p>
      <w:pPr>
        <w:spacing w:after="240"/>
      </w:pPr>
      <w:r>
        <w:rPr>
          <w:rFonts w:ascii="Arial" w:hAnsi="Arial"/>
          <w:i/>
          <w:color w:val="5A5A5A"/>
          <w:sz w:val="17"/>
        </w:rPr>
        <w:t>Figure: Teams chat response confirming overall organization attrition of 0.43% against active workforce, and UAE National attrition of 4.32%.</w:t>
      </w:r>
    </w:p>
    <w:p>
      <w:pPr>
        <w:pStyle w:val="Heading2"/>
      </w:pPr>
      <w:r>
        <w:rPr>
          <w:rFonts w:ascii="Arial" w:hAnsi="Arial"/>
          <w:b/>
          <w:color w:val="1034A6"/>
          <w:sz w:val="23"/>
        </w:rPr>
        <w:t>• Test 4: Joiners vs Leavers Monthly Trend &amp; Talent Velocity (Teams Chat)</w:t>
      </w:r>
    </w:p>
    <w:p>
      <w:pPr>
        <w:spacing w:before="80" w:after="80"/>
        <w:jc w:val="center"/>
      </w:pPr>
    </w:p>
    <w:p>
      <w:r>
        <w:drawing>
          <wp:inline xmlns:a="http://schemas.openxmlformats.org/drawingml/2006/main" xmlns:pic="http://schemas.openxmlformats.org/drawingml/2006/picture">
            <wp:extent cx="5669280" cy="2858262"/>
            <wp:docPr id="4" name="Picture 4"/>
            <wp:cNvGraphicFramePr>
              <a:graphicFrameLocks noChangeAspect="1"/>
            </wp:cNvGraphicFramePr>
            <a:graphic>
              <a:graphicData uri="http://schemas.openxmlformats.org/drawingml/2006/picture">
                <pic:pic>
                  <pic:nvPicPr>
                    <pic:cNvPr id="0" name="teams_test_05_joiners_leavers_trend.png"/>
                    <pic:cNvPicPr/>
                  </pic:nvPicPr>
                  <pic:blipFill>
                    <a:blip r:embed="rId12"/>
                    <a:stretch>
                      <a:fillRect/>
                    </a:stretch>
                  </pic:blipFill>
                  <pic:spPr>
                    <a:xfrm>
                      <a:off x="0" y="0"/>
                      <a:ext cx="5669280" cy="2858262"/>
                    </a:xfrm>
                    <a:prstGeom prst="rect"/>
                  </pic:spPr>
                </pic:pic>
              </a:graphicData>
            </a:graphic>
          </wp:inline>
        </w:drawing>
      </w:r>
    </w:p>
    <w:p>
      <w:pPr>
        <w:spacing w:after="240"/>
      </w:pPr>
      <w:r>
        <w:rPr>
          <w:rFonts w:ascii="Arial" w:hAnsi="Arial"/>
          <w:i/>
          <w:color w:val="5A5A5A"/>
          <w:sz w:val="17"/>
        </w:rPr>
        <w:t>Figure: Teams chat response illustrating 35 joiners against 11 leavers, delivering net talent growth of +24 and talent velocity of 3.18x (EXPANDING).</w:t>
      </w:r>
    </w:p>
    <w:p>
      <w:pPr>
        <w:pStyle w:val="Heading2"/>
      </w:pPr>
      <w:r>
        <w:rPr>
          <w:rFonts w:ascii="Arial" w:hAnsi="Arial"/>
          <w:b/>
          <w:color w:val="1034A6"/>
          <w:sz w:val="23"/>
        </w:rPr>
        <w:t>• Test 5: Live Workforce Population &amp; Denominator Audit (Teams Chat)</w:t>
      </w:r>
    </w:p>
    <w:p>
      <w:pPr>
        <w:spacing w:before="80" w:after="80"/>
        <w:jc w:val="center"/>
      </w:pPr>
    </w:p>
    <w:p>
      <w:r>
        <w:drawing>
          <wp:inline xmlns:a="http://schemas.openxmlformats.org/drawingml/2006/main" xmlns:pic="http://schemas.openxmlformats.org/drawingml/2006/picture">
            <wp:extent cx="5669280" cy="2858262"/>
            <wp:docPr id="5" name="Picture 5"/>
            <wp:cNvGraphicFramePr>
              <a:graphicFrameLocks noChangeAspect="1"/>
            </wp:cNvGraphicFramePr>
            <a:graphic>
              <a:graphicData uri="http://schemas.openxmlformats.org/drawingml/2006/picture">
                <pic:pic>
                  <pic:nvPicPr>
                    <pic:cNvPr id="0" name="teams_fresh_01_workforce_population.png"/>
                    <pic:cNvPicPr/>
                  </pic:nvPicPr>
                  <pic:blipFill>
                    <a:blip r:embed="rId13"/>
                    <a:stretch>
                      <a:fillRect/>
                    </a:stretch>
                  </pic:blipFill>
                  <pic:spPr>
                    <a:xfrm>
                      <a:off x="0" y="0"/>
                      <a:ext cx="5669280" cy="2858262"/>
                    </a:xfrm>
                    <a:prstGeom prst="rect"/>
                  </pic:spPr>
                </pic:pic>
              </a:graphicData>
            </a:graphic>
          </wp:inline>
        </w:drawing>
      </w:r>
    </w:p>
    <w:p>
      <w:pPr>
        <w:spacing w:after="240"/>
      </w:pPr>
      <w:r>
        <w:rPr>
          <w:rFonts w:ascii="Arial" w:hAnsi="Arial"/>
          <w:i/>
          <w:color w:val="5A5A5A"/>
          <w:sz w:val="17"/>
        </w:rPr>
        <w:t>Figure: Teams live chat session verifying role-visible population denominators, as-of date (22 August 2026), and data-integrity policies.</w:t>
      </w:r>
    </w:p>
    <w:p>
      <w:pPr>
        <w:pStyle w:val="Heading2"/>
      </w:pPr>
      <w:r>
        <w:rPr>
          <w:rFonts w:ascii="Arial" w:hAnsi="Arial"/>
          <w:b/>
          <w:color w:val="1034A6"/>
          <w:sz w:val="23"/>
        </w:rPr>
        <w:t>• Test 6: Full 17-Metric Executive Suite Output (Copilot Studio Test Canvas)</w:t>
      </w:r>
    </w:p>
    <w:p>
      <w:pPr>
        <w:spacing w:before="80" w:after="80"/>
        <w:jc w:val="center"/>
      </w:pP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copilot_test_17_metrics_complete.png"/>
                    <pic:cNvPicPr/>
                  </pic:nvPicPr>
                  <pic:blipFill>
                    <a:blip r:embed="rId14"/>
                    <a:stretch>
                      <a:fillRect/>
                    </a:stretch>
                  </pic:blipFill>
                  <pic:spPr>
                    <a:xfrm>
                      <a:off x="0" y="0"/>
                      <a:ext cx="5669280" cy="3543300"/>
                    </a:xfrm>
                    <a:prstGeom prst="rect"/>
                  </pic:spPr>
                </pic:pic>
              </a:graphicData>
            </a:graphic>
          </wp:inline>
        </w:drawing>
      </w:r>
    </w:p>
    <w:p>
      <w:pPr>
        <w:spacing w:after="240"/>
      </w:pPr>
      <w:r>
        <w:rPr>
          <w:rFonts w:ascii="Arial" w:hAnsi="Arial"/>
          <w:i/>
          <w:color w:val="5A5A5A"/>
          <w:sz w:val="17"/>
        </w:rPr>
        <w:t>Figure: Copilot Studio multi-tool response executing all 5 SAP SuccessFactors MCP actions with complete Adaptive Card payloads and monthly distribution tables.</w:t>
      </w:r>
    </w:p>
    <w:p>
      <w:pPr>
        <w:pStyle w:val="Heading1"/>
      </w:pPr>
      <w:r>
        <w:rPr>
          <w:rFonts w:ascii="Arial" w:hAnsi="Arial"/>
          <w:b/>
          <w:color w:val="1034A6"/>
          <w:sz w:val="28"/>
        </w:rPr>
        <w:t>4. Dataverse Regulatory Audit Trail &amp; Governance</w:t>
      </w:r>
    </w:p>
    <w:p>
      <w:pPr>
        <w:spacing w:after="160" w:line="276" w:lineRule="auto"/>
      </w:pPr>
      <w:r>
        <w:t>In accordance with enterprise data governance standards, every MCP tool call executed during this test session automatically emitted an immutable regulatory audit log record into Microsoft Dataverse entity cre2f_veloraagentauditlogs. Each log entry includes the executing user principal (balaadm@velora.ae), target MCP tool name, exact input parameters, execution latency in milliseconds, row counts evaluated, and cryptographic SHA-256 session integrity hashes.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