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B8960C"/>
          <w:sz w:val="28"/>
          <w:szCs w:val="28"/>
        </w:rPr>
        <w:t xml:space="preserve">◆  EXECUTIVE PROTECTION  ◆</w:t>
      </w:r>
    </w:p>
    <w:p>
      <w:pPr>
        <w:spacing w:after="120"/>
        <w:jc w:val="center"/>
      </w:pPr>
      <w:r>
        <w:rPr>
          <w:rFonts w:ascii="Arial" w:cs="Arial" w:eastAsia="Arial" w:hAnsi="Arial"/>
          <w:b/>
          <w:bCs/>
          <w:color w:val="1A2C4E"/>
          <w:sz w:val="52"/>
          <w:szCs w:val="52"/>
        </w:rPr>
        <w:t xml:space="preserve">STATE-OF-THE-ART</w:t>
      </w:r>
    </w:p>
    <w:p>
      <w:pPr>
        <w:spacing w:after="120"/>
        <w:jc w:val="center"/>
      </w:pPr>
      <w:r>
        <w:rPr>
          <w:rFonts w:ascii="Arial" w:cs="Arial" w:eastAsia="Arial" w:hAnsi="Arial"/>
          <w:b/>
          <w:bCs/>
          <w:color w:val="1A2C4E"/>
          <w:sz w:val="48"/>
          <w:szCs w:val="48"/>
        </w:rPr>
        <w:t xml:space="preserve">MASTER TRAINING MANUAL</w:t>
      </w:r>
    </w:p>
    <w:p>
      <w:pPr>
        <w:spacing w:after="300"/>
        <w:jc w:val="center"/>
      </w:pPr>
      <w:r>
        <w:rPr>
          <w:rFonts w:ascii="Arial" w:cs="Arial" w:eastAsia="Arial" w:hAnsi="Arial"/>
          <w:i/>
          <w:iCs/>
          <w:color w:val="2E5F8A"/>
          <w:sz w:val="28"/>
          <w:szCs w:val="28"/>
        </w:rPr>
        <w:t xml:space="preserve">Equipment · Weapons · Tactics · Protocols</w:t>
      </w:r>
    </w:p>
    <w:p>
      <w:pPr>
        <w:pBdr>
          <w:top w:val="single" w:color="B8960C" w:sz="8" w:space="4"/>
          <w:bottom w:val="single" w:color="B8960C" w:sz="8" w:space="4"/>
        </w:pBdr>
        <w:spacing w:after="160"/>
        <w:jc w:val="center"/>
      </w:pPr>
      <w:r>
        <w:rPr>
          <w:rFonts w:ascii="Arial" w:cs="Arial" w:eastAsia="Arial" w:hAnsi="Arial"/>
          <w:b/>
          <w:bCs/>
          <w:color w:val="2E5F8A"/>
          <w:sz w:val="26"/>
          <w:szCs w:val="26"/>
        </w:rPr>
        <w:t xml:space="preserve">For Personal Bodyguards of Heads of State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C4E"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  United States</w:t>
            </w:r>
          </w:p>
          <w:p>
            <w:pPr>
              <w:jc w:val="center"/>
            </w:pPr>
            <w:r>
              <w:rPr>
                <w:rFonts w:ascii="Arial" w:cs="Arial" w:eastAsia="Arial" w:hAnsi="Arial"/>
                <w:color w:val="B8960C"/>
                <w:sz w:val="20"/>
                <w:szCs w:val="20"/>
              </w:rPr>
              <w:t xml:space="preserve">Secret Service</w:t>
            </w:r>
          </w:p>
        </w:tc>
        <w:tc>
          <w:tcPr>
            <w:tcW w:type="dxa" w:w="3120"/>
            <w:tcBorders>
              <w:top w:val="single" w:color="CCCCCC" w:sz="1"/>
              <w:left w:val="single" w:color="CCCCCC" w:sz="1"/>
              <w:bottom w:val="single" w:color="CCCCCC" w:sz="1"/>
              <w:right w:val="single" w:color="CCCCCC" w:sz="1"/>
            </w:tcBorders>
            <w:shd w:fill="2E5F8A"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  Israel</w:t>
            </w:r>
          </w:p>
          <w:p>
            <w:pPr>
              <w:jc w:val="center"/>
            </w:pPr>
            <w:r>
              <w:rPr>
                <w:rFonts w:ascii="Arial" w:cs="Arial" w:eastAsia="Arial" w:hAnsi="Arial"/>
                <w:color w:val="B8960C"/>
                <w:sz w:val="20"/>
                <w:szCs w:val="20"/>
              </w:rPr>
              <w:t xml:space="preserve">Shin Bet / Yamam</w:t>
            </w:r>
          </w:p>
        </w:tc>
        <w:tc>
          <w:tcPr>
            <w:tcW w:type="dxa" w:w="3120"/>
            <w:tcBorders>
              <w:top w:val="single" w:color="CCCCCC" w:sz="1"/>
              <w:left w:val="single" w:color="CCCCCC" w:sz="1"/>
              <w:bottom w:val="single" w:color="CCCCCC" w:sz="1"/>
              <w:right w:val="single" w:color="CCCCCC" w:sz="1"/>
            </w:tcBorders>
            <w:shd w:fill="2D2D2D"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  China</w:t>
            </w:r>
          </w:p>
          <w:p>
            <w:pPr>
              <w:jc w:val="center"/>
            </w:pPr>
            <w:r>
              <w:rPr>
                <w:rFonts w:ascii="Arial" w:cs="Arial" w:eastAsia="Arial" w:hAnsi="Arial"/>
                <w:color w:val="B8960C"/>
                <w:sz w:val="20"/>
                <w:szCs w:val="20"/>
              </w:rPr>
              <w:t xml:space="preserve">CSPF / Zhongnanhai</w:t>
            </w:r>
          </w:p>
        </w:tc>
      </w:tr>
    </w:tbl>
    <w:p>
      <w:pPr>
        <w:spacing w:after="160"/>
      </w:pPr>
    </w:p>
    <w:p>
      <w:pPr>
        <w:spacing w:after="60"/>
        <w:jc w:val="center"/>
      </w:pPr>
      <w:r>
        <w:rPr>
          <w:rFonts w:ascii="Arial" w:cs="Arial" w:eastAsia="Arial" w:hAnsi="Arial"/>
          <w:b/>
          <w:bCs/>
          <w:color w:val="8B0000"/>
          <w:sz w:val="20"/>
          <w:szCs w:val="20"/>
        </w:rPr>
        <w:t xml:space="preserve">Classification: RESTRICTED – OFFICIAL USE ONLY</w:t>
      </w:r>
    </w:p>
    <w:p>
      <w:pPr>
        <w:spacing w:after="60"/>
        <w:jc w:val="center"/>
      </w:pPr>
      <w:r>
        <w:rPr>
          <w:rFonts w:ascii="Arial" w:cs="Arial" w:eastAsia="Arial" w:hAnsi="Arial"/>
          <w:color w:val="2D2D2D"/>
          <w:sz w:val="20"/>
          <w:szCs w:val="20"/>
        </w:rPr>
        <w:t xml:space="preserve">Version 2025.1  |  Executive Protection Training Academy</w:t>
      </w:r>
    </w:p>
    <w:p>
      <w:pPr>
        <w:jc w:val="center"/>
      </w:pPr>
      <w:r>
        <w:rPr>
          <w:rFonts w:ascii="Arial" w:cs="Arial" w:eastAsia="Arial" w:hAnsi="Arial"/>
          <w:i/>
          <w:iCs/>
          <w:color w:val="2D2D2D"/>
          <w:sz w:val="18"/>
          <w:szCs w:val="18"/>
        </w:rPr>
        <w:t xml:space="preserve">Unauthorized reproduction or distribution is strictly prohibited</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Foreword</w:t>
      </w:r>
    </w:p>
    <w:p>
      <w:pPr>
        <w:spacing w:after="120"/>
      </w:pPr>
      <w:r>
        <w:rPr>
          <w:rFonts w:ascii="Arial" w:cs="Arial" w:eastAsia="Arial" w:hAnsi="Arial"/>
          <w:color w:val="2D2D2D"/>
          <w:sz w:val="22"/>
          <w:szCs w:val="22"/>
        </w:rPr>
        <w:t xml:space="preserve">This manual represents the consolidated body of knowledge, tradecraft, and operational doctrine governing the protection of heads of state at the highest level. It draws from the publicly documented practices of the United States Secret Service (USSS), the Israeli Shin Bet's VIP Protection Unit, and the Chinese Central Special Protection Force (CSPF), synthesized with modern advances in counter-terrorism, threat assessment, and protective technology.</w:t>
      </w:r>
    </w:p>
    <w:p>
      <w:pPr>
        <w:spacing w:after="160"/>
      </w:pPr>
    </w:p>
    <w:p>
      <w:pPr>
        <w:spacing w:after="120"/>
      </w:pPr>
      <w:r>
        <w:rPr>
          <w:rFonts w:ascii="Arial" w:cs="Arial" w:eastAsia="Arial" w:hAnsi="Arial"/>
          <w:color w:val="2D2D2D"/>
          <w:sz w:val="22"/>
          <w:szCs w:val="22"/>
        </w:rPr>
        <w:t xml:space="preserve">A personal bodyguard assigned to a head of state operates in an environment unlike any other in the security profession. The protectee is simultaneously the most recognized individual in the country, a target of sustained adversarial attention from state and non-state actors, and a person who must conduct public, high-visibility activities every day. The bodyguard's mission is not merely reactive — it is profoundly predictive, intelligence-driven, and systemic.</w:t>
      </w:r>
    </w:p>
    <w:p>
      <w:pPr>
        <w:spacing w:after="160"/>
      </w:pPr>
    </w:p>
    <w:p>
      <w:pPr>
        <w:spacing w:after="120"/>
      </w:pPr>
      <w:r>
        <w:rPr>
          <w:rFonts w:ascii="Arial" w:cs="Arial" w:eastAsia="Arial" w:hAnsi="Arial"/>
          <w:color w:val="2D2D2D"/>
          <w:sz w:val="22"/>
          <w:szCs w:val="22"/>
        </w:rPr>
        <w:t xml:space="preserve">This manual is organized into twelve chapters covering: threat doctrine, physical fitness and combatives, protective formations, weapons systems, non-lethal and less-lethal tools, communications and electronic warfare, medical preparedness, motorcade and air operations, advance work, legal authority and use-of-force, psychological resilience, and cross-agency coordination. Each chapter integrates comparative analysis across the US, Israeli, and Chinese protective frameworks.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pPr>
            <w:r>
              <w:rPr>
                <w:rFonts w:ascii="Arial" w:cs="Arial" w:eastAsia="Arial" w:hAnsi="Arial"/>
                <w:b/>
                <w:bCs/>
                <w:color w:val="1A2C4E"/>
                <w:sz w:val="22"/>
                <w:szCs w:val="22"/>
              </w:rPr>
              <w:t xml:space="preserve">Operational Security Notice</w:t>
            </w:r>
          </w:p>
          <w:p>
            <w:r>
              <w:rPr>
                <w:rFonts w:ascii="Arial" w:cs="Arial" w:eastAsia="Arial" w:hAnsi="Arial"/>
                <w:color w:val="2D2D2D"/>
                <w:sz w:val="20"/>
                <w:szCs w:val="20"/>
              </w:rPr>
              <w:t xml:space="preserve">This document contains sensitive procedural information. Personnel must adhere to need-to-know protocols. Physical copies must be stored in approved secure containers. Digital copies must be encrypted to AES-256 standard at rest and in transit.</w:t>
            </w:r>
          </w:p>
        </w:tc>
      </w:tr>
    </w:tbl>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1: Threat Environment and Risk Doctrine</w:t>
      </w:r>
    </w:p>
    <w:p>
      <w:pPr>
        <w:pStyle w:val="Heading2"/>
        <w:spacing w:before="300" w:after="120"/>
      </w:pPr>
      <w:r>
        <w:rPr>
          <w:rFonts w:ascii="Arial" w:cs="Arial" w:eastAsia="Arial" w:hAnsi="Arial"/>
          <w:b/>
          <w:bCs/>
          <w:color w:val="2E5F8A"/>
          <w:sz w:val="28"/>
          <w:szCs w:val="28"/>
        </w:rPr>
        <w:t xml:space="preserve">1.1 Understanding the Modern Threat Landscape</w:t>
      </w:r>
    </w:p>
    <w:p>
      <w:pPr>
        <w:spacing w:after="120"/>
      </w:pPr>
      <w:r>
        <w:rPr>
          <w:rFonts w:ascii="Arial" w:cs="Arial" w:eastAsia="Arial" w:hAnsi="Arial"/>
          <w:color w:val="2D2D2D"/>
          <w:sz w:val="22"/>
          <w:szCs w:val="22"/>
        </w:rPr>
        <w:t xml:space="preserve">The threat environment facing heads of state in the 21st century is defined by four principal threat actor categories:</w:t>
      </w:r>
    </w:p>
    <w:p>
      <w:pPr>
        <w:pStyle w:val="ListParagraph"/>
        <w:numPr>
          <w:ilvl w:val="0"/>
          <w:numId w:val="2"/>
        </w:numPr>
        <w:spacing w:after="60"/>
      </w:pPr>
      <w:r>
        <w:rPr>
          <w:rFonts w:ascii="Arial" w:cs="Arial" w:eastAsia="Arial" w:hAnsi="Arial"/>
          <w:color w:val="2D2D2D"/>
          <w:sz w:val="22"/>
          <w:szCs w:val="22"/>
        </w:rPr>
        <w:t xml:space="preserve">Nation-State Actors: Foreign intelligence services conducting assassination, kidnapping, or coercive operations. These actors possess significant resources, technical capability, and operational patience. Primary threats to US principals emanate from adversarial state intelligence services. Israeli principals face threats from Iranian Quds Force, Hezbollah, and associated groups. Chinese principals face threats primarily from foreign intelligence operations and organized domestic dissent.</w:t>
      </w:r>
    </w:p>
    <w:p>
      <w:pPr>
        <w:pStyle w:val="ListParagraph"/>
        <w:numPr>
          <w:ilvl w:val="0"/>
          <w:numId w:val="2"/>
        </w:numPr>
        <w:spacing w:after="60"/>
      </w:pPr>
      <w:r>
        <w:rPr>
          <w:rFonts w:ascii="Arial" w:cs="Arial" w:eastAsia="Arial" w:hAnsi="Arial"/>
          <w:color w:val="2D2D2D"/>
          <w:sz w:val="22"/>
          <w:szCs w:val="22"/>
        </w:rPr>
        <w:t xml:space="preserve">Transnational Terrorist Organizations: Groups such as Al-Qaeda, ISIS affiliates, and regional militant organizations with documented interest in attacking heads of state to generate maximum international impact.</w:t>
      </w:r>
    </w:p>
    <w:p>
      <w:pPr>
        <w:pStyle w:val="ListParagraph"/>
        <w:numPr>
          <w:ilvl w:val="0"/>
          <w:numId w:val="2"/>
        </w:numPr>
        <w:spacing w:after="60"/>
      </w:pPr>
      <w:r>
        <w:rPr>
          <w:rFonts w:ascii="Arial" w:cs="Arial" w:eastAsia="Arial" w:hAnsi="Arial"/>
          <w:color w:val="2D2D2D"/>
          <w:sz w:val="22"/>
          <w:szCs w:val="22"/>
        </w:rPr>
        <w:t xml:space="preserve">Lone Wolf / Domestic Extremists: Statistically, the most frequent historical source of assassination attempts against US presidents. Individuals motivated by personal grievance, ideological radicalization, or mental illness, often with limited pre-attack indicators.</w:t>
      </w:r>
    </w:p>
    <w:p>
      <w:pPr>
        <w:pStyle w:val="ListParagraph"/>
        <w:numPr>
          <w:ilvl w:val="0"/>
          <w:numId w:val="2"/>
        </w:numPr>
        <w:spacing w:after="60"/>
      </w:pPr>
      <w:r>
        <w:rPr>
          <w:rFonts w:ascii="Arial" w:cs="Arial" w:eastAsia="Arial" w:hAnsi="Arial"/>
          <w:color w:val="2D2D2D"/>
          <w:sz w:val="22"/>
          <w:szCs w:val="22"/>
        </w:rPr>
        <w:t xml:space="preserve">Organized Crime and Narco-Terrorism: Particularly relevant for protective details operating in or near jurisdictions with significant cartel or organized crime presence.</w:t>
      </w:r>
    </w:p>
    <w:p>
      <w:pPr>
        <w:spacing w:after="160"/>
      </w:pPr>
    </w:p>
    <w:p>
      <w:pPr>
        <w:pStyle w:val="Heading2"/>
        <w:spacing w:before="300" w:after="120"/>
      </w:pPr>
      <w:r>
        <w:rPr>
          <w:rFonts w:ascii="Arial" w:cs="Arial" w:eastAsia="Arial" w:hAnsi="Arial"/>
          <w:b/>
          <w:bCs/>
          <w:color w:val="2E5F8A"/>
          <w:sz w:val="28"/>
          <w:szCs w:val="28"/>
        </w:rPr>
        <w:t xml:space="preserve">1.2 Threat Assessment Methodology</w:t>
      </w:r>
    </w:p>
    <w:p>
      <w:pPr>
        <w:spacing w:after="120"/>
      </w:pPr>
      <w:r>
        <w:rPr>
          <w:rFonts w:ascii="Arial" w:cs="Arial" w:eastAsia="Arial" w:hAnsi="Arial"/>
          <w:color w:val="2D2D2D"/>
          <w:sz w:val="22"/>
          <w:szCs w:val="22"/>
        </w:rPr>
        <w:t xml:space="preserve">Protective intelligence is the foundation of all proactive security measures. Assessment follows the CARVER matrix adapted for protective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Weighting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Criticality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Impact of successful attack on the principal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Accessibility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Ease of access to the principal at a given venue or 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Recuperability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How quickly security apparatus recovers post-incident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Vulnerability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Weaknesses in current protective posture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Effect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Broader political and strategic consequences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Recognizability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How easily the principal can be identified by adversaries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Medium</w:t>
            </w:r>
          </w:p>
        </w:tc>
      </w:tr>
    </w:tbl>
    <w:p>
      <w:pPr>
        <w:spacing w:after="160"/>
      </w:pPr>
    </w:p>
    <w:p>
      <w:pPr>
        <w:pStyle w:val="Heading2"/>
        <w:spacing w:before="300" w:after="120"/>
      </w:pPr>
      <w:r>
        <w:rPr>
          <w:rFonts w:ascii="Arial" w:cs="Arial" w:eastAsia="Arial" w:hAnsi="Arial"/>
          <w:b/>
          <w:bCs/>
          <w:color w:val="2E5F8A"/>
          <w:sz w:val="28"/>
          <w:szCs w:val="28"/>
        </w:rPr>
        <w:t xml:space="preserve">1.3 Comparative Threat Profiles</w:t>
      </w:r>
    </w:p>
    <w:p>
      <w:pPr>
        <w:pStyle w:val="Heading3"/>
        <w:spacing w:before="200" w:after="80"/>
      </w:pPr>
      <w:r>
        <w:rPr>
          <w:rFonts w:ascii="Arial" w:cs="Arial" w:eastAsia="Arial" w:hAnsi="Arial"/>
          <w:b/>
          <w:bCs/>
          <w:color w:val="2D2D2D"/>
          <w:sz w:val="24"/>
          <w:szCs w:val="24"/>
        </w:rPr>
        <w:t xml:space="preserve">United States</w:t>
      </w:r>
    </w:p>
    <w:p>
      <w:pPr>
        <w:spacing w:after="120"/>
      </w:pPr>
      <w:r>
        <w:rPr>
          <w:rFonts w:ascii="Arial" w:cs="Arial" w:eastAsia="Arial" w:hAnsi="Arial"/>
          <w:color w:val="2D2D2D"/>
          <w:sz w:val="22"/>
          <w:szCs w:val="22"/>
        </w:rPr>
        <w:t xml:space="preserve">The US President faces an exceptionally broad threat portfolio due to global influence and high media visibility. Threats are continuously monitored by USSS Intelligence Division, CIA, FBI, NSA, and DIA with daily threat briefings to the detail leader. The White House Situation Room serves as the central fusion point for all intelligence bearing on presidential security.</w:t>
      </w:r>
    </w:p>
    <w:p>
      <w:pPr>
        <w:pStyle w:val="Heading3"/>
        <w:spacing w:before="200" w:after="80"/>
      </w:pPr>
      <w:r>
        <w:rPr>
          <w:rFonts w:ascii="Arial" w:cs="Arial" w:eastAsia="Arial" w:hAnsi="Arial"/>
          <w:b/>
          <w:bCs/>
          <w:color w:val="2D2D2D"/>
          <w:sz w:val="24"/>
          <w:szCs w:val="24"/>
        </w:rPr>
        <w:t xml:space="preserve">Israel</w:t>
      </w:r>
    </w:p>
    <w:p>
      <w:pPr>
        <w:spacing w:after="120"/>
      </w:pPr>
      <w:r>
        <w:rPr>
          <w:rFonts w:ascii="Arial" w:cs="Arial" w:eastAsia="Arial" w:hAnsi="Arial"/>
          <w:color w:val="2D2D2D"/>
          <w:sz w:val="22"/>
          <w:szCs w:val="22"/>
        </w:rPr>
        <w:t xml:space="preserve">The Israeli Prime Minister faces existential adversarial attention from regional state actors with advanced capabilities. Shin Bet's VIP Protection Unit (known internally as the Prime Minister's Security Detail) operates in an environment where threat actors have demonstrated willingness and capability to conduct complex, multi-element attacks. Intelligence integration with IDF Military Intelligence (Aman) and Mossad is continuous.</w:t>
      </w:r>
    </w:p>
    <w:p>
      <w:pPr>
        <w:pStyle w:val="Heading3"/>
        <w:spacing w:before="200" w:after="80"/>
      </w:pPr>
      <w:r>
        <w:rPr>
          <w:rFonts w:ascii="Arial" w:cs="Arial" w:eastAsia="Arial" w:hAnsi="Arial"/>
          <w:b/>
          <w:bCs/>
          <w:color w:val="2D2D2D"/>
          <w:sz w:val="24"/>
          <w:szCs w:val="24"/>
        </w:rPr>
        <w:t xml:space="preserve">China</w:t>
      </w:r>
    </w:p>
    <w:p>
      <w:pPr>
        <w:spacing w:after="120"/>
      </w:pPr>
      <w:r>
        <w:rPr>
          <w:rFonts w:ascii="Arial" w:cs="Arial" w:eastAsia="Arial" w:hAnsi="Arial"/>
          <w:color w:val="2D2D2D"/>
          <w:sz w:val="22"/>
          <w:szCs w:val="22"/>
        </w:rPr>
        <w:t xml:space="preserve">The Chinese Premier and top Politburo Standing Committee members are protected by the CSPF, a force subordinate to the Central Guard Bureau (Zhongnanhai). The threat matrix emphasizes internal security, foreign intelligence penetration, and high-consequence social unrest scenarios. Information compartmentalization within Chinese protective doctrine is extremely rigorous.</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2: Physical Fitness, Combatives, and Tactical Athleticism</w:t>
      </w:r>
    </w:p>
    <w:p>
      <w:pPr>
        <w:pStyle w:val="Heading2"/>
        <w:spacing w:before="300" w:after="120"/>
      </w:pPr>
      <w:r>
        <w:rPr>
          <w:rFonts w:ascii="Arial" w:cs="Arial" w:eastAsia="Arial" w:hAnsi="Arial"/>
          <w:b/>
          <w:bCs/>
          <w:color w:val="2E5F8A"/>
          <w:sz w:val="28"/>
          <w:szCs w:val="28"/>
        </w:rPr>
        <w:t xml:space="preserve">2.1 Physical Standards</w:t>
      </w:r>
    </w:p>
    <w:p>
      <w:pPr>
        <w:spacing w:after="120"/>
      </w:pPr>
      <w:r>
        <w:rPr>
          <w:rFonts w:ascii="Arial" w:cs="Arial" w:eastAsia="Arial" w:hAnsi="Arial"/>
          <w:color w:val="2D2D2D"/>
          <w:sz w:val="22"/>
          <w:szCs w:val="22"/>
        </w:rPr>
        <w:t xml:space="preserve">A protective agent must maintain elite-level physical capacity across multiple domains simultaneously. The physical demands of close protection are unique: long periods of low-intensity vigilance punctuated by explosive, high-intensity intervention requiring strength, speed, and decisiveness under extreme stress.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Assessment</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Minimum Standard</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Elite Standard</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Assessment Interval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1.5-Mile 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 10:30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 8:00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Push-Ups (2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Pull-Ups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Vertical Jump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24 inches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32 inches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Semi-annual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300m Sprint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 52 sec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 44 sec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Deadlift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1.5x bodyweight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2x bodyweight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Semi-annual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VO2 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 ml/kg/min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60+ ml/kg/min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Annual</w:t>
            </w:r>
          </w:p>
        </w:tc>
      </w:tr>
    </w:tbl>
    <w:p>
      <w:pPr>
        <w:spacing w:after="160"/>
      </w:pPr>
    </w:p>
    <w:p>
      <w:pPr>
        <w:pStyle w:val="Heading2"/>
        <w:spacing w:before="300" w:after="120"/>
      </w:pPr>
      <w:r>
        <w:rPr>
          <w:rFonts w:ascii="Arial" w:cs="Arial" w:eastAsia="Arial" w:hAnsi="Arial"/>
          <w:b/>
          <w:bCs/>
          <w:color w:val="2E5F8A"/>
          <w:sz w:val="28"/>
          <w:szCs w:val="28"/>
        </w:rPr>
        <w:t xml:space="preserve">2.2 Combatives Curriculum</w:t>
      </w:r>
    </w:p>
    <w:p>
      <w:pPr>
        <w:spacing w:after="120"/>
      </w:pPr>
      <w:r>
        <w:rPr>
          <w:rFonts w:ascii="Arial" w:cs="Arial" w:eastAsia="Arial" w:hAnsi="Arial"/>
          <w:color w:val="2D2D2D"/>
          <w:sz w:val="22"/>
          <w:szCs w:val="22"/>
        </w:rPr>
        <w:t xml:space="preserve">Close protection combatives training integrates multiple disciplines with emphasis on practical application under stress, in confined spaces, while managing simultaneous tactical responsibilities.</w:t>
      </w:r>
    </w:p>
    <w:p>
      <w:pPr>
        <w:pStyle w:val="Heading3"/>
        <w:spacing w:before="200" w:after="80"/>
      </w:pPr>
      <w:r>
        <w:rPr>
          <w:rFonts w:ascii="Arial" w:cs="Arial" w:eastAsia="Arial" w:hAnsi="Arial"/>
          <w:b/>
          <w:bCs/>
          <w:color w:val="2D2D2D"/>
          <w:sz w:val="24"/>
          <w:szCs w:val="24"/>
        </w:rPr>
        <w:t xml:space="preserve">Defensive Tactics Core</w:t>
      </w:r>
    </w:p>
    <w:p>
      <w:pPr>
        <w:pStyle w:val="ListParagraph"/>
        <w:numPr>
          <w:ilvl w:val="0"/>
          <w:numId w:val="2"/>
        </w:numPr>
        <w:spacing w:after="60"/>
      </w:pPr>
      <w:r>
        <w:rPr>
          <w:rFonts w:ascii="Arial" w:cs="Arial" w:eastAsia="Arial" w:hAnsi="Arial"/>
          <w:color w:val="2D2D2D"/>
          <w:sz w:val="22"/>
          <w:szCs w:val="22"/>
        </w:rPr>
        <w:t xml:space="preserve">Krav Maga: Israeli-developed system forming the foundation of combatives training across all three agencies. Emphasizes rapid neutralization, simultaneous attack and defense, and weapons retention.</w:t>
      </w:r>
    </w:p>
    <w:p>
      <w:pPr>
        <w:pStyle w:val="ListParagraph"/>
        <w:numPr>
          <w:ilvl w:val="0"/>
          <w:numId w:val="2"/>
        </w:numPr>
        <w:spacing w:after="60"/>
      </w:pPr>
      <w:r>
        <w:rPr>
          <w:rFonts w:ascii="Arial" w:cs="Arial" w:eastAsia="Arial" w:hAnsi="Arial"/>
          <w:color w:val="2D2D2D"/>
          <w:sz w:val="22"/>
          <w:szCs w:val="22"/>
        </w:rPr>
        <w:t xml:space="preserve">Brazilian Jiu-Jitsu (Ground Defense): Defensive grappling oriented toward controlling a threat or breaking free from a grapple to resume weapon access and tactical positioning.</w:t>
      </w:r>
    </w:p>
    <w:p>
      <w:pPr>
        <w:pStyle w:val="ListParagraph"/>
        <w:numPr>
          <w:ilvl w:val="0"/>
          <w:numId w:val="2"/>
        </w:numPr>
        <w:spacing w:after="60"/>
      </w:pPr>
      <w:r>
        <w:rPr>
          <w:rFonts w:ascii="Arial" w:cs="Arial" w:eastAsia="Arial" w:hAnsi="Arial"/>
          <w:color w:val="2D2D2D"/>
          <w:sz w:val="22"/>
          <w:szCs w:val="22"/>
        </w:rPr>
        <w:t xml:space="preserve">Wrestling / Takedown Defense: Priority is staying on your feet — an agent on the ground cannot execute evacuation of the principal. Takedown sprawls, clinch defense, and wall work are drilled extensively.</w:t>
      </w:r>
    </w:p>
    <w:p>
      <w:pPr>
        <w:pStyle w:val="ListParagraph"/>
        <w:numPr>
          <w:ilvl w:val="0"/>
          <w:numId w:val="2"/>
        </w:numPr>
        <w:spacing w:after="60"/>
      </w:pPr>
      <w:r>
        <w:rPr>
          <w:rFonts w:ascii="Arial" w:cs="Arial" w:eastAsia="Arial" w:hAnsi="Arial"/>
          <w:color w:val="2D2D2D"/>
          <w:sz w:val="22"/>
          <w:szCs w:val="22"/>
        </w:rPr>
        <w:t xml:space="preserve">Combative Striking: Boxing, Muay Thai striking for stand-up engagement. Focus on knockout or stun strikes enabling rapid disengagement, not prolonged combat.</w:t>
      </w:r>
    </w:p>
    <w:p>
      <w:pPr>
        <w:spacing w:after="160"/>
      </w:pPr>
    </w:p>
    <w:p>
      <w:pPr>
        <w:pStyle w:val="Heading3"/>
        <w:spacing w:before="200" w:after="80"/>
      </w:pPr>
      <w:r>
        <w:rPr>
          <w:rFonts w:ascii="Arial" w:cs="Arial" w:eastAsia="Arial" w:hAnsi="Arial"/>
          <w:b/>
          <w:bCs/>
          <w:color w:val="2D2D2D"/>
          <w:sz w:val="24"/>
          <w:szCs w:val="24"/>
        </w:rPr>
        <w:t xml:space="preserve">Weapons Retention and Disarming</w:t>
      </w:r>
    </w:p>
    <w:p>
      <w:pPr>
        <w:pStyle w:val="ListParagraph"/>
        <w:numPr>
          <w:ilvl w:val="0"/>
          <w:numId w:val="2"/>
        </w:numPr>
        <w:spacing w:after="60"/>
      </w:pPr>
      <w:r>
        <w:rPr>
          <w:rFonts w:ascii="Arial" w:cs="Arial" w:eastAsia="Arial" w:hAnsi="Arial"/>
          <w:color w:val="2D2D2D"/>
          <w:sz w:val="22"/>
          <w:szCs w:val="22"/>
        </w:rPr>
        <w:t xml:space="preserve">Holster-specific retention drills: Every agent must be proficient in Level II and Level III retention holster manipulation under duress.</w:t>
      </w:r>
    </w:p>
    <w:p>
      <w:pPr>
        <w:pStyle w:val="ListParagraph"/>
        <w:numPr>
          <w:ilvl w:val="0"/>
          <w:numId w:val="2"/>
        </w:numPr>
        <w:spacing w:after="60"/>
      </w:pPr>
      <w:r>
        <w:rPr>
          <w:rFonts w:ascii="Arial" w:cs="Arial" w:eastAsia="Arial" w:hAnsi="Arial"/>
          <w:color w:val="2D2D2D"/>
          <w:sz w:val="22"/>
          <w:szCs w:val="22"/>
        </w:rPr>
        <w:t xml:space="preserve">Firearm disarming sequences: Multiple entry angles (front, side, rear) practiced to automaticity — minimum 500 repetitions per technique before operational deployment.</w:t>
      </w:r>
    </w:p>
    <w:p>
      <w:pPr>
        <w:pStyle w:val="ListParagraph"/>
        <w:numPr>
          <w:ilvl w:val="0"/>
          <w:numId w:val="2"/>
        </w:numPr>
        <w:spacing w:after="60"/>
      </w:pPr>
      <w:r>
        <w:rPr>
          <w:rFonts w:ascii="Arial" w:cs="Arial" w:eastAsia="Arial" w:hAnsi="Arial"/>
          <w:color w:val="2D2D2D"/>
          <w:sz w:val="22"/>
          <w:szCs w:val="22"/>
        </w:rPr>
        <w:t xml:space="preserve">Edged weapon defense: Defang-the-snake methodology combined with aggressive counter-attack sequences.</w:t>
      </w:r>
    </w:p>
    <w:p>
      <w:pPr>
        <w:pStyle w:val="ListParagraph"/>
        <w:numPr>
          <w:ilvl w:val="0"/>
          <w:numId w:val="2"/>
        </w:numPr>
        <w:spacing w:after="60"/>
      </w:pPr>
      <w:r>
        <w:rPr>
          <w:rFonts w:ascii="Arial" w:cs="Arial" w:eastAsia="Arial" w:hAnsi="Arial"/>
          <w:color w:val="2D2D2D"/>
          <w:sz w:val="22"/>
          <w:szCs w:val="22"/>
        </w:rPr>
        <w:t xml:space="preserve">Improvised weapon recognition and response: Responding to attacks with vehicles, blunt objects, and biological/chemical dispersal devices.</w:t>
      </w:r>
    </w:p>
    <w:p>
      <w:pPr>
        <w:spacing w:after="160"/>
      </w:pPr>
    </w:p>
    <w:p>
      <w:pPr>
        <w:pStyle w:val="Heading2"/>
        <w:spacing w:before="300" w:after="120"/>
      </w:pPr>
      <w:r>
        <w:rPr>
          <w:rFonts w:ascii="Arial" w:cs="Arial" w:eastAsia="Arial" w:hAnsi="Arial"/>
          <w:b/>
          <w:bCs/>
          <w:color w:val="2E5F8A"/>
          <w:sz w:val="28"/>
          <w:szCs w:val="28"/>
        </w:rPr>
        <w:t xml:space="preserve">2.3 Stress Inoculation Training</w:t>
      </w:r>
    </w:p>
    <w:p>
      <w:pPr>
        <w:spacing w:after="120"/>
      </w:pPr>
      <w:r>
        <w:rPr>
          <w:rFonts w:ascii="Arial" w:cs="Arial" w:eastAsia="Arial" w:hAnsi="Arial"/>
          <w:color w:val="2D2D2D"/>
          <w:sz w:val="22"/>
          <w:szCs w:val="22"/>
        </w:rPr>
        <w:t xml:space="preserve">Technical skill without stress inoculation fails in real incidents. Training must replicate the physiological and psychological state of an actual attack:</w:t>
      </w:r>
    </w:p>
    <w:p>
      <w:pPr>
        <w:pStyle w:val="ListParagraph"/>
        <w:numPr>
          <w:ilvl w:val="0"/>
          <w:numId w:val="2"/>
        </w:numPr>
        <w:spacing w:after="60"/>
      </w:pPr>
      <w:r>
        <w:rPr>
          <w:rFonts w:ascii="Arial" w:cs="Arial" w:eastAsia="Arial" w:hAnsi="Arial"/>
          <w:color w:val="2D2D2D"/>
          <w:sz w:val="22"/>
          <w:szCs w:val="22"/>
        </w:rPr>
        <w:t xml:space="preserve">Heart rate elevation: All combatives techniques must be practiced after running 400m at maximum sprint to simulate attack-scenario heart rates (160–190 BPM).</w:t>
      </w:r>
    </w:p>
    <w:p>
      <w:pPr>
        <w:pStyle w:val="ListParagraph"/>
        <w:numPr>
          <w:ilvl w:val="0"/>
          <w:numId w:val="2"/>
        </w:numPr>
        <w:spacing w:after="60"/>
      </w:pPr>
      <w:r>
        <w:rPr>
          <w:rFonts w:ascii="Arial" w:cs="Arial" w:eastAsia="Arial" w:hAnsi="Arial"/>
          <w:color w:val="2D2D2D"/>
          <w:sz w:val="22"/>
          <w:szCs w:val="22"/>
        </w:rPr>
        <w:t xml:space="preserve">Scenario-based force-on-force: Regular Simunition or Airsoft-based scenario training with role-players attempting realistic attack sequences.</w:t>
      </w:r>
    </w:p>
    <w:p>
      <w:pPr>
        <w:pStyle w:val="ListParagraph"/>
        <w:numPr>
          <w:ilvl w:val="0"/>
          <w:numId w:val="2"/>
        </w:numPr>
        <w:spacing w:after="60"/>
      </w:pPr>
      <w:r>
        <w:rPr>
          <w:rFonts w:ascii="Arial" w:cs="Arial" w:eastAsia="Arial" w:hAnsi="Arial"/>
          <w:color w:val="2D2D2D"/>
          <w:sz w:val="22"/>
          <w:szCs w:val="22"/>
        </w:rPr>
        <w:t xml:space="preserve">Sleep deprivation protocols: Quarterly 36-hour operational readiness exercises maintaining full protective posture.</w:t>
      </w:r>
    </w:p>
    <w:p>
      <w:pPr>
        <w:pStyle w:val="ListParagraph"/>
        <w:numPr>
          <w:ilvl w:val="0"/>
          <w:numId w:val="2"/>
        </w:numPr>
        <w:spacing w:after="60"/>
      </w:pPr>
      <w:r>
        <w:rPr>
          <w:rFonts w:ascii="Arial" w:cs="Arial" w:eastAsia="Arial" w:hAnsi="Arial"/>
          <w:color w:val="2D2D2D"/>
          <w:sz w:val="22"/>
          <w:szCs w:val="22"/>
        </w:rPr>
        <w:t xml:space="preserve">Cortisol exposure: Controlled stress scenarios involving realistic surprise attacks, verbal confrontation, and media intrusion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pPr>
            <w:r>
              <w:rPr>
                <w:rFonts w:ascii="Arial" w:cs="Arial" w:eastAsia="Arial" w:hAnsi="Arial"/>
                <w:b/>
                <w:bCs/>
                <w:color w:val="1A2C4E"/>
                <w:sz w:val="22"/>
                <w:szCs w:val="22"/>
              </w:rPr>
              <w:t xml:space="preserve">Chinese CSPF Distinction</w:t>
            </w:r>
          </w:p>
          <w:p>
            <w:r>
              <w:rPr>
                <w:rFonts w:ascii="Arial" w:cs="Arial" w:eastAsia="Arial" w:hAnsi="Arial"/>
                <w:color w:val="2D2D2D"/>
                <w:sz w:val="20"/>
                <w:szCs w:val="20"/>
              </w:rPr>
              <w:t xml:space="preserve">CSPF combatives training places significantly elevated emphasis on Sanda (Chinese kickboxing) and Chin Na (joint control techniques), alongside Krav Maga elements. Chinese agents also receive specialized training in countering crowd-surge scenarios given the political sensitivity of Chinese official public events.</w:t>
            </w:r>
          </w:p>
        </w:tc>
      </w:tr>
    </w:tbl>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3: Protective Formations and Movement Doctrine</w:t>
      </w:r>
    </w:p>
    <w:p>
      <w:pPr>
        <w:pStyle w:val="Heading2"/>
        <w:spacing w:before="300" w:after="120"/>
      </w:pPr>
      <w:r>
        <w:rPr>
          <w:rFonts w:ascii="Arial" w:cs="Arial" w:eastAsia="Arial" w:hAnsi="Arial"/>
          <w:b/>
          <w:bCs/>
          <w:color w:val="2E5F8A"/>
          <w:sz w:val="28"/>
          <w:szCs w:val="28"/>
        </w:rPr>
        <w:t xml:space="preserve">3.1 The Diamond Formation</w:t>
      </w:r>
    </w:p>
    <w:p>
      <w:pPr>
        <w:spacing w:after="120"/>
      </w:pPr>
      <w:r>
        <w:rPr>
          <w:rFonts w:ascii="Arial" w:cs="Arial" w:eastAsia="Arial" w:hAnsi="Arial"/>
          <w:color w:val="2D2D2D"/>
          <w:sz w:val="22"/>
          <w:szCs w:val="22"/>
        </w:rPr>
        <w:t xml:space="preserve">The diamond (or diamond variant) is the standard close-in protective formation for head-of-state protection across all three agencies. It provides 360-degree coverage with overlapping fields of observation and layered response capability.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none" w:color="FFFFFF" w:sz="0"/>
              <w:left w:val="none" w:color="FFFFFF" w:sz="0"/>
              <w:bottom w:val="none" w:color="FFFFFF" w:sz="0"/>
              <w:right w:val="none" w:color="FFFFFF" w:sz="0"/>
            </w:tcBorders>
          </w:tcPr>
          <w:p>
            <w:pPr>
              <w:spacing w:after="120"/>
            </w:pPr>
            <w:r>
              <w:rPr>
                <w:rFonts w:ascii="Arial" w:cs="Arial" w:eastAsia="Arial" w:hAnsi="Arial"/>
                <w:color w:val="2D2D2D"/>
                <w:sz w:val="22"/>
                <w:szCs w:val="22"/>
              </w:rPr>
              <w:t xml:space="preserve"/>
            </w:r>
          </w:p>
        </w:tc>
        <w:tc>
          <w:tcPr>
            <w:tcW w:type="dxa" w:w="4680"/>
            <w:tcBorders>
              <w:top w:val="single" w:color="CCCCCC" w:sz="1"/>
              <w:left w:val="single" w:color="CCCCCC" w:sz="1"/>
              <w:bottom w:val="single" w:color="CCCCCC" w:sz="1"/>
              <w:right w:val="single" w:color="CCCCCC" w:sz="1"/>
            </w:tcBorders>
            <w:shd w:fill="2E5F8A"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  POINT AGENT</w:t>
            </w:r>
          </w:p>
          <w:p>
            <w:pPr>
              <w:jc w:val="center"/>
            </w:pPr>
            <w:r>
              <w:rPr>
                <w:rFonts w:ascii="Arial" w:cs="Arial" w:eastAsia="Arial" w:hAnsi="Arial"/>
                <w:color w:val="D6E4F0"/>
                <w:sz w:val="20"/>
                <w:szCs w:val="20"/>
              </w:rPr>
              <w:t xml:space="preserve">Advance warning / path-clearing</w:t>
            </w:r>
          </w:p>
        </w:tc>
        <w:tc>
          <w:tcPr>
            <w:tcW w:type="dxa" w:w="2340"/>
            <w:tcBorders>
              <w:top w:val="none" w:color="FFFFFF" w:sz="0"/>
              <w:left w:val="none" w:color="FFFFFF" w:sz="0"/>
              <w:bottom w:val="none" w:color="FFFFFF" w:sz="0"/>
              <w:right w:val="none" w:color="FFFFFF" w:sz="0"/>
            </w:tcBorders>
          </w:tcPr>
          <w:p>
            <w:pPr>
              <w:spacing w:after="120"/>
            </w:pPr>
            <w:r>
              <w:rPr>
                <w:rFonts w:ascii="Arial" w:cs="Arial" w:eastAsia="Arial" w:hAnsi="Arial"/>
                <w:color w:val="2D2D2D"/>
                <w:sz w:val="22"/>
                <w:szCs w:val="22"/>
              </w:rPr>
              <w:t xml:space="preserve"/>
            </w:r>
          </w:p>
        </w:tc>
      </w:tr>
      <w:tr>
        <w:tc>
          <w:tcPr>
            <w:tcW w:type="dxa" w:w="2340"/>
            <w:tcBorders>
              <w:top w:val="single" w:color="CCCCCC" w:sz="1"/>
              <w:left w:val="single" w:color="CCCCCC" w:sz="1"/>
              <w:bottom w:val="single" w:color="CCCCCC" w:sz="1"/>
              <w:right w:val="single" w:color="CCCCCC" w:sz="1"/>
            </w:tcBorders>
            <w:shd w:fill="1A2C4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 LEFT FLANK</w:t>
            </w:r>
          </w:p>
        </w:tc>
        <w:tc>
          <w:tcPr>
            <w:tcW w:type="dxa" w:w="4680"/>
            <w:tcBorders>
              <w:top w:val="single" w:color="CCCCCC" w:sz="1"/>
              <w:left w:val="single" w:color="CCCCCC" w:sz="1"/>
              <w:bottom w:val="single" w:color="CCCCCC" w:sz="1"/>
              <w:right w:val="single" w:color="CCCCCC" w:sz="1"/>
            </w:tcBorders>
            <w:shd w:fill="8B0000" w:val="clear"/>
            <w:tcMar>
              <w:top w:type="dxa" w:w="140"/>
              <w:left w:type="dxa" w:w="180"/>
              <w:bottom w:type="dxa" w:w="140"/>
              <w:right w:type="dxa" w:w="180"/>
            </w:tcMar>
          </w:tcPr>
          <w:p>
            <w:pPr>
              <w:jc w:val="center"/>
            </w:pPr>
            <w:r>
              <w:rPr>
                <w:rFonts w:ascii="Arial" w:cs="Arial" w:eastAsia="Arial" w:hAnsi="Arial"/>
                <w:b/>
                <w:bCs/>
                <w:color w:val="FFFFFF"/>
                <w:sz w:val="26"/>
                <w:szCs w:val="26"/>
              </w:rPr>
              <w:t xml:space="preserve">★  PROTECTEE  ★</w:t>
            </w:r>
          </w:p>
          <w:p>
            <w:pPr>
              <w:jc w:val="center"/>
            </w:pPr>
            <w:r>
              <w:rPr>
                <w:rFonts w:ascii="Arial" w:cs="Arial" w:eastAsia="Arial" w:hAnsi="Arial"/>
                <w:color w:val="D6E4F0"/>
                <w:sz w:val="20"/>
                <w:szCs w:val="20"/>
              </w:rPr>
              <w:t xml:space="preserve">Body Agent &amp; RSO</w:t>
            </w:r>
          </w:p>
        </w:tc>
        <w:tc>
          <w:tcPr>
            <w:tcW w:type="dxa" w:w="2340"/>
            <w:tcBorders>
              <w:top w:val="single" w:color="CCCCCC" w:sz="1"/>
              <w:left w:val="single" w:color="CCCCCC" w:sz="1"/>
              <w:bottom w:val="single" w:color="CCCCCC" w:sz="1"/>
              <w:right w:val="single" w:color="CCCCCC" w:sz="1"/>
            </w:tcBorders>
            <w:shd w:fill="1A2C4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RIGHT FLANK ►</w:t>
            </w:r>
          </w:p>
        </w:tc>
      </w:tr>
      <w:tr>
        <w:tc>
          <w:tcPr>
            <w:tcW w:type="dxa" w:w="2340"/>
            <w:tcBorders>
              <w:top w:val="none" w:color="FFFFFF" w:sz="0"/>
              <w:left w:val="none" w:color="FFFFFF" w:sz="0"/>
              <w:bottom w:val="none" w:color="FFFFFF" w:sz="0"/>
              <w:right w:val="none" w:color="FFFFFF" w:sz="0"/>
            </w:tcBorders>
          </w:tcPr>
          <w:p>
            <w:pPr>
              <w:spacing w:after="120"/>
            </w:pPr>
            <w:r>
              <w:rPr>
                <w:rFonts w:ascii="Arial" w:cs="Arial" w:eastAsia="Arial" w:hAnsi="Arial"/>
                <w:color w:val="2D2D2D"/>
                <w:sz w:val="22"/>
                <w:szCs w:val="22"/>
              </w:rPr>
              <w:t xml:space="preserve"/>
            </w:r>
          </w:p>
        </w:tc>
        <w:tc>
          <w:tcPr>
            <w:tcW w:type="dxa" w:w="4680"/>
            <w:tcBorders>
              <w:top w:val="single" w:color="CCCCCC" w:sz="1"/>
              <w:left w:val="single" w:color="CCCCCC" w:sz="1"/>
              <w:bottom w:val="single" w:color="CCCCCC" w:sz="1"/>
              <w:right w:val="single" w:color="CCCCCC" w:sz="1"/>
            </w:tcBorders>
            <w:shd w:fill="2E5F8A"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  TRAIL AGENT</w:t>
            </w:r>
          </w:p>
          <w:p>
            <w:pPr>
              <w:jc w:val="center"/>
            </w:pPr>
            <w:r>
              <w:rPr>
                <w:rFonts w:ascii="Arial" w:cs="Arial" w:eastAsia="Arial" w:hAnsi="Arial"/>
                <w:color w:val="D6E4F0"/>
                <w:sz w:val="20"/>
                <w:szCs w:val="20"/>
              </w:rPr>
              <w:t xml:space="preserve">Rear security / counter-surveillance</w:t>
            </w:r>
          </w:p>
        </w:tc>
        <w:tc>
          <w:tcPr>
            <w:tcW w:type="dxa" w:w="2340"/>
            <w:tcBorders>
              <w:top w:val="none" w:color="FFFFFF" w:sz="0"/>
              <w:left w:val="none" w:color="FFFFFF" w:sz="0"/>
              <w:bottom w:val="none" w:color="FFFFFF" w:sz="0"/>
              <w:right w:val="none" w:color="FFFFFF" w:sz="0"/>
            </w:tcBorders>
          </w:tcPr>
          <w:p>
            <w:pPr>
              <w:spacing w:after="120"/>
            </w:pPr>
            <w:r>
              <w:rPr>
                <w:rFonts w:ascii="Arial" w:cs="Arial" w:eastAsia="Arial" w:hAnsi="Arial"/>
                <w:color w:val="2D2D2D"/>
                <w:sz w:val="22"/>
                <w:szCs w:val="22"/>
              </w:rPr>
              <w:t xml:space="preserve"/>
            </w:r>
          </w:p>
        </w:tc>
      </w:tr>
    </w:tbl>
    <w:p>
      <w:pPr>
        <w:spacing w:after="160"/>
      </w:pPr>
    </w:p>
    <w:p>
      <w:pPr>
        <w:pStyle w:val="Heading2"/>
        <w:spacing w:before="300" w:after="120"/>
      </w:pPr>
      <w:r>
        <w:rPr>
          <w:rFonts w:ascii="Arial" w:cs="Arial" w:eastAsia="Arial" w:hAnsi="Arial"/>
          <w:b/>
          <w:bCs/>
          <w:color w:val="2E5F8A"/>
          <w:sz w:val="28"/>
          <w:szCs w:val="28"/>
        </w:rPr>
        <w:t xml:space="preserve">3.2 Formation Variations</w:t>
      </w:r>
    </w:p>
    <w:p>
      <w:pPr>
        <w:pStyle w:val="ListParagraph"/>
        <w:numPr>
          <w:ilvl w:val="0"/>
          <w:numId w:val="2"/>
        </w:numPr>
        <w:spacing w:after="60"/>
      </w:pPr>
      <w:r>
        <w:rPr>
          <w:rFonts w:ascii="Arial" w:cs="Arial" w:eastAsia="Arial" w:hAnsi="Arial"/>
          <w:color w:val="2D2D2D"/>
          <w:sz w:val="22"/>
          <w:szCs w:val="22"/>
        </w:rPr>
        <w:t xml:space="preserve">Wedge Formation: Used in high-threat crowd environments; agents form a V-shape ahead of the protectee to physically part crowds and provide enhanced frontal protection.</w:t>
      </w:r>
    </w:p>
    <w:p>
      <w:pPr>
        <w:pStyle w:val="ListParagraph"/>
        <w:numPr>
          <w:ilvl w:val="0"/>
          <w:numId w:val="2"/>
        </w:numPr>
        <w:spacing w:after="60"/>
      </w:pPr>
      <w:r>
        <w:rPr>
          <w:rFonts w:ascii="Arial" w:cs="Arial" w:eastAsia="Arial" w:hAnsi="Arial"/>
          <w:color w:val="2D2D2D"/>
          <w:sz w:val="22"/>
          <w:szCs w:val="22"/>
        </w:rPr>
        <w:t xml:space="preserve">Box Formation: Maximum agents, used for extremely high-threat situations. Four agents in a tight square around the protectee with two additional support agents.</w:t>
      </w:r>
    </w:p>
    <w:p>
      <w:pPr>
        <w:pStyle w:val="ListParagraph"/>
        <w:numPr>
          <w:ilvl w:val="0"/>
          <w:numId w:val="2"/>
        </w:numPr>
        <w:spacing w:after="60"/>
      </w:pPr>
      <w:r>
        <w:rPr>
          <w:rFonts w:ascii="Arial" w:cs="Arial" w:eastAsia="Arial" w:hAnsi="Arial"/>
          <w:color w:val="2D2D2D"/>
          <w:sz w:val="22"/>
          <w:szCs w:val="22"/>
        </w:rPr>
        <w:t xml:space="preserve">Single-Agent Cover: USSS Body Agent protocol — when in extreme close proximity (handshake events), a single designated Body Agent maintains physical contact with the protectee at all times.</w:t>
      </w:r>
    </w:p>
    <w:p>
      <w:pPr>
        <w:pStyle w:val="ListParagraph"/>
        <w:numPr>
          <w:ilvl w:val="0"/>
          <w:numId w:val="2"/>
        </w:numPr>
        <w:spacing w:after="60"/>
      </w:pPr>
      <w:r>
        <w:rPr>
          <w:rFonts w:ascii="Arial" w:cs="Arial" w:eastAsia="Arial" w:hAnsi="Arial"/>
          <w:color w:val="2D2D2D"/>
          <w:sz w:val="22"/>
          <w:szCs w:val="22"/>
        </w:rPr>
        <w:t xml:space="preserve">Moving Overwatch: Israeli doctrine emphasizing elevated observer-agents maintaining line-of-sight overwatch from advantageous positions as the principal moves below.</w:t>
      </w:r>
    </w:p>
    <w:p>
      <w:pPr>
        <w:spacing w:after="160"/>
      </w:pPr>
    </w:p>
    <w:p>
      <w:pPr>
        <w:pStyle w:val="Heading2"/>
        <w:spacing w:before="300" w:after="120"/>
      </w:pPr>
      <w:r>
        <w:rPr>
          <w:rFonts w:ascii="Arial" w:cs="Arial" w:eastAsia="Arial" w:hAnsi="Arial"/>
          <w:b/>
          <w:bCs/>
          <w:color w:val="2E5F8A"/>
          <w:sz w:val="28"/>
          <w:szCs w:val="28"/>
        </w:rPr>
        <w:t xml:space="preserve">3.3 Immediate Action Drills</w:t>
      </w:r>
    </w:p>
    <w:p>
      <w:pPr>
        <w:spacing w:after="120"/>
      </w:pPr>
      <w:r>
        <w:rPr>
          <w:rFonts w:ascii="Arial" w:cs="Arial" w:eastAsia="Arial" w:hAnsi="Arial"/>
          <w:color w:val="2D2D2D"/>
          <w:sz w:val="22"/>
          <w:szCs w:val="22"/>
        </w:rPr>
        <w:t xml:space="preserve">All formation members must execute the following drills to automaticity, without verbal command:</w:t>
      </w:r>
    </w:p>
    <w:p>
      <w:pPr>
        <w:pStyle w:val="ListParagraph"/>
        <w:numPr>
          <w:ilvl w:val="0"/>
          <w:numId w:val="3"/>
        </w:numPr>
        <w:spacing w:after="80"/>
      </w:pPr>
      <w:r>
        <w:rPr>
          <w:rFonts w:ascii="Arial" w:cs="Arial" w:eastAsia="Arial" w:hAnsi="Arial"/>
          <w:color w:val="2D2D2D"/>
          <w:sz w:val="22"/>
          <w:szCs w:val="22"/>
        </w:rPr>
        <w:t xml:space="preserve">COVER AND EVACUATE: On any attack signal, Body Agent immediately covers protectee with own body, outer agents identify threat direction, evacuation team extracts principal to designated safe haven vehicle.</w:t>
      </w:r>
    </w:p>
    <w:p>
      <w:pPr>
        <w:pStyle w:val="ListParagraph"/>
        <w:numPr>
          <w:ilvl w:val="0"/>
          <w:numId w:val="3"/>
        </w:numPr>
        <w:spacing w:after="80"/>
      </w:pPr>
      <w:r>
        <w:rPr>
          <w:rFonts w:ascii="Arial" w:cs="Arial" w:eastAsia="Arial" w:hAnsi="Arial"/>
          <w:color w:val="2D2D2D"/>
          <w:sz w:val="22"/>
          <w:szCs w:val="22"/>
        </w:rPr>
        <w:t xml:space="preserve">COUNTER-AMBUSH: If ambushed by direct fire, two agents provide immediate suppressive fire toward threat, remaining agents form human shield and execute extraction to armored vehicle.</w:t>
      </w:r>
    </w:p>
    <w:p>
      <w:pPr>
        <w:pStyle w:val="ListParagraph"/>
        <w:numPr>
          <w:ilvl w:val="0"/>
          <w:numId w:val="3"/>
        </w:numPr>
        <w:spacing w:after="80"/>
      </w:pPr>
      <w:r>
        <w:rPr>
          <w:rFonts w:ascii="Arial" w:cs="Arial" w:eastAsia="Arial" w:hAnsi="Arial"/>
          <w:color w:val="2D2D2D"/>
          <w:sz w:val="22"/>
          <w:szCs w:val="22"/>
        </w:rPr>
        <w:t xml:space="preserve">MEDICAL EMERGENCY: One agent secures scene perimeter, Body Agent initiates Tactical Combat Casualty Care (TCCC), Shift Leader calls MEDEVAC and initiates evacuation to pre-designated Level I Trauma Center.</w:t>
      </w:r>
    </w:p>
    <w:p>
      <w:pPr>
        <w:pStyle w:val="ListParagraph"/>
        <w:numPr>
          <w:ilvl w:val="0"/>
          <w:numId w:val="3"/>
        </w:numPr>
        <w:spacing w:after="80"/>
      </w:pPr>
      <w:r>
        <w:rPr>
          <w:rFonts w:ascii="Arial" w:cs="Arial" w:eastAsia="Arial" w:hAnsi="Arial"/>
          <w:color w:val="2D2D2D"/>
          <w:sz w:val="22"/>
          <w:szCs w:val="22"/>
        </w:rPr>
        <w:t xml:space="preserve">CHEMICAL/BIOLOGICAL INDICATOR: Immediate upwind evacuation, don PPE (respirators stored in every agent's kit), protective masks on principal, HAZMAT notification through secure comms.</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4: Weapons Systems and Armament</w:t>
      </w:r>
    </w:p>
    <w:p>
      <w:pPr>
        <w:pStyle w:val="Heading2"/>
        <w:spacing w:before="300" w:after="120"/>
      </w:pPr>
      <w:r>
        <w:rPr>
          <w:rFonts w:ascii="Arial" w:cs="Arial" w:eastAsia="Arial" w:hAnsi="Arial"/>
          <w:b/>
          <w:bCs/>
          <w:color w:val="2E5F8A"/>
          <w:sz w:val="28"/>
          <w:szCs w:val="28"/>
        </w:rPr>
        <w:t xml:space="preserve">4.1 Primary Sidearms</w:t>
      </w:r>
    </w:p>
    <w:p>
      <w:pPr>
        <w:spacing w:after="120"/>
      </w:pPr>
      <w:r>
        <w:rPr>
          <w:rFonts w:ascii="Arial" w:cs="Arial" w:eastAsia="Arial" w:hAnsi="Arial"/>
          <w:color w:val="2D2D2D"/>
          <w:sz w:val="22"/>
          <w:szCs w:val="22"/>
        </w:rPr>
        <w:t xml:space="preserve">The sidearm is the primary defensive weapon of the close protection agent. Selection criteria prioritize reliability, magazine capacity, caliber effectiveness, concealability, and ergonomic performance under stress.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Agency / Country</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Primary Sidearm</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Caliber</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Capacity</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USSS (US)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 Sauer P229 / P226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9mm / .357 SIG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15+1 / 12+1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issue; transitioning to P320 MHS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USSS (US)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Glock 19 Gen5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9mm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Preferred by many agents; compact variant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Shin Bet (Israel)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Glock 17 / Glock 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9mm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17+1 / 15+1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across most units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Shin Bet (Israel)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Jericho 941 (Baby Eagle)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9mm / .40 S&amp;W</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16+1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Domestic option; widely issued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CSPF (China)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QSZ-92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9mm / 5.8mm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Indigenous Chinese design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CSPF (China)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CS/LP5 (CZ-75 derivative)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9mm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16+1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Compact variant for plainclothes work</w:t>
            </w:r>
          </w:p>
        </w:tc>
      </w:tr>
    </w:tbl>
    <w:p>
      <w:pPr>
        <w:spacing w:after="160"/>
      </w:pPr>
    </w:p>
    <w:p>
      <w:pPr>
        <w:pStyle w:val="Heading2"/>
        <w:spacing w:before="300" w:after="120"/>
      </w:pPr>
      <w:r>
        <w:rPr>
          <w:rFonts w:ascii="Arial" w:cs="Arial" w:eastAsia="Arial" w:hAnsi="Arial"/>
          <w:b/>
          <w:bCs/>
          <w:color w:val="2E5F8A"/>
          <w:sz w:val="28"/>
          <w:szCs w:val="28"/>
        </w:rPr>
        <w:t xml:space="preserve">4.2 Submachine Guns and PDWs</w:t>
      </w:r>
    </w:p>
    <w:p>
      <w:pPr>
        <w:spacing w:after="120"/>
      </w:pPr>
      <w:r>
        <w:rPr>
          <w:rFonts w:ascii="Arial" w:cs="Arial" w:eastAsia="Arial" w:hAnsi="Arial"/>
          <w:color w:val="2D2D2D"/>
          <w:sz w:val="22"/>
          <w:szCs w:val="22"/>
        </w:rPr>
        <w:t xml:space="preserve">Agents in the outer protection layer, vehicle details, and counter-assault teams carry concealable long arms for engagements beyond handgun-effective range and for situations requiring suppressive fire.</w:t>
      </w:r>
    </w:p>
    <w:p>
      <w:pPr>
        <w:pStyle w:val="ListParagraph"/>
        <w:numPr>
          <w:ilvl w:val="0"/>
          <w:numId w:val="2"/>
        </w:numPr>
        <w:spacing w:after="60"/>
      </w:pPr>
      <w:r>
        <w:rPr>
          <w:rFonts w:ascii="Arial" w:cs="Arial" w:eastAsia="Arial" w:hAnsi="Arial"/>
          <w:color w:val="2D2D2D"/>
          <w:sz w:val="22"/>
          <w:szCs w:val="22"/>
        </w:rPr>
        <w:t xml:space="preserve">HK UMP45 / MP5: Standard USSS Counter Assault Team (CAT) weapons. The MP5 remains in service for close-quarter situations due to accuracy and suppressor compatibility.</w:t>
      </w:r>
    </w:p>
    <w:p>
      <w:pPr>
        <w:pStyle w:val="ListParagraph"/>
        <w:numPr>
          <w:ilvl w:val="0"/>
          <w:numId w:val="2"/>
        </w:numPr>
        <w:spacing w:after="60"/>
      </w:pPr>
      <w:r>
        <w:rPr>
          <w:rFonts w:ascii="Arial" w:cs="Arial" w:eastAsia="Arial" w:hAnsi="Arial"/>
          <w:color w:val="2D2D2D"/>
          <w:sz w:val="22"/>
          <w:szCs w:val="22"/>
        </w:rPr>
        <w:t xml:space="preserve">HK MP7A2: Adopted by multiple VIP protection services for its extreme compactness combined with effective armor-piercing HK 4.6x30mm ammunition.</w:t>
      </w:r>
    </w:p>
    <w:p>
      <w:pPr>
        <w:pStyle w:val="ListParagraph"/>
        <w:numPr>
          <w:ilvl w:val="0"/>
          <w:numId w:val="2"/>
        </w:numPr>
        <w:spacing w:after="60"/>
      </w:pPr>
      <w:r>
        <w:rPr>
          <w:rFonts w:ascii="Arial" w:cs="Arial" w:eastAsia="Arial" w:hAnsi="Arial"/>
          <w:color w:val="2D2D2D"/>
          <w:sz w:val="22"/>
          <w:szCs w:val="22"/>
        </w:rPr>
        <w:t xml:space="preserve">Uzi Pro / Micro Uzi: Israeli Shin Bet detail preference for concealable sub-machine gun carried by outer agents in jacket-concealment configuration.</w:t>
      </w:r>
    </w:p>
    <w:p>
      <w:pPr>
        <w:pStyle w:val="ListParagraph"/>
        <w:numPr>
          <w:ilvl w:val="0"/>
          <w:numId w:val="2"/>
        </w:numPr>
        <w:spacing w:after="60"/>
      </w:pPr>
      <w:r>
        <w:rPr>
          <w:rFonts w:ascii="Arial" w:cs="Arial" w:eastAsia="Arial" w:hAnsi="Arial"/>
          <w:color w:val="2D2D2D"/>
          <w:sz w:val="22"/>
          <w:szCs w:val="22"/>
        </w:rPr>
        <w:t xml:space="preserve">FN P90: Used by Chinese CSPF protection teams; compact bullpup design with 50-round magazine and 5.7x28mm rounds offering enhanced penetration.</w:t>
      </w:r>
    </w:p>
    <w:p>
      <w:pPr>
        <w:spacing w:after="160"/>
      </w:pPr>
    </w:p>
    <w:p>
      <w:pPr>
        <w:pStyle w:val="Heading2"/>
        <w:spacing w:before="300" w:after="120"/>
      </w:pPr>
      <w:r>
        <w:rPr>
          <w:rFonts w:ascii="Arial" w:cs="Arial" w:eastAsia="Arial" w:hAnsi="Arial"/>
          <w:b/>
          <w:bCs/>
          <w:color w:val="2E5F8A"/>
          <w:sz w:val="28"/>
          <w:szCs w:val="28"/>
        </w:rPr>
        <w:t xml:space="preserve">4.3 Designated Marksman and Counter-Sniper Assets</w:t>
      </w:r>
    </w:p>
    <w:p>
      <w:pPr>
        <w:spacing w:after="120"/>
      </w:pPr>
      <w:r>
        <w:rPr>
          <w:rFonts w:ascii="Arial" w:cs="Arial" w:eastAsia="Arial" w:hAnsi="Arial"/>
          <w:color w:val="2D2D2D"/>
          <w:sz w:val="22"/>
          <w:szCs w:val="22"/>
        </w:rPr>
        <w:t xml:space="preserve">All three agencies deploy dedicated counter-sniper teams in overwatch positions during every significant outdoor event involving the principal. These assets extend the protective envelope to distances of 800–1,200 meters.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Caliber</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Effective Range</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Deployment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Counter-Sniper (USSS)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Remington MSR / Barrett MRAD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.300 Win Mag / .338 Lapua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1,200m+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Roof positions, elevated overwatch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Counter-Sniper (Israel)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 AXMC / IWI Dan .338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.338 Lapua Magnum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1,500m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Urban rooftop, concealed hides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Counter-Sniper (China)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CS/LR4 Sniper System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8.6mm Lapua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Integrated with advance team</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Aerial Sniper (all)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Helo-mounted precision rifle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.308 / .338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800m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Observation helicopter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Anti-Materiel (USSS/IDF)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Barrett M82A1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 BMG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1,800m+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Vehicle interdiction</w:t>
            </w:r>
          </w:p>
        </w:tc>
      </w:tr>
    </w:tbl>
    <w:p>
      <w:pPr>
        <w:spacing w:after="160"/>
      </w:pPr>
    </w:p>
    <w:p>
      <w:pPr>
        <w:pStyle w:val="Heading2"/>
        <w:spacing w:before="300" w:after="120"/>
      </w:pPr>
      <w:r>
        <w:rPr>
          <w:rFonts w:ascii="Arial" w:cs="Arial" w:eastAsia="Arial" w:hAnsi="Arial"/>
          <w:b/>
          <w:bCs/>
          <w:color w:val="2E5F8A"/>
          <w:sz w:val="28"/>
          <w:szCs w:val="28"/>
        </w:rPr>
        <w:t xml:space="preserve">4.4 Non-Lethal and Less-Lethal Weapons</w:t>
      </w:r>
    </w:p>
    <w:p>
      <w:pPr>
        <w:pStyle w:val="ListParagraph"/>
        <w:numPr>
          <w:ilvl w:val="0"/>
          <w:numId w:val="2"/>
        </w:numPr>
        <w:spacing w:after="60"/>
      </w:pPr>
      <w:r>
        <w:rPr>
          <w:rFonts w:ascii="Arial" w:cs="Arial" w:eastAsia="Arial" w:hAnsi="Arial"/>
          <w:color w:val="2D2D2D"/>
          <w:sz w:val="22"/>
          <w:szCs w:val="22"/>
        </w:rPr>
        <w:t xml:space="preserve">OC Spray (Oleoresin Capsicum): Every agent carries a minimum of one MK-4 or equivalent OC canister. Used for crowd-dispersion and compliance in non-lethal threat situations.</w:t>
      </w:r>
    </w:p>
    <w:p>
      <w:pPr>
        <w:pStyle w:val="ListParagraph"/>
        <w:numPr>
          <w:ilvl w:val="0"/>
          <w:numId w:val="2"/>
        </w:numPr>
        <w:spacing w:after="60"/>
      </w:pPr>
      <w:r>
        <w:rPr>
          <w:rFonts w:ascii="Arial" w:cs="Arial" w:eastAsia="Arial" w:hAnsi="Arial"/>
          <w:color w:val="2D2D2D"/>
          <w:sz w:val="22"/>
          <w:szCs w:val="22"/>
        </w:rPr>
        <w:t xml:space="preserve">TASER X26P / X2: Carried by outer protection layer agents for controlled deployment against individual threats not yet requiring lethal response.</w:t>
      </w:r>
    </w:p>
    <w:p>
      <w:pPr>
        <w:pStyle w:val="ListParagraph"/>
        <w:numPr>
          <w:ilvl w:val="0"/>
          <w:numId w:val="2"/>
        </w:numPr>
        <w:spacing w:after="60"/>
      </w:pPr>
      <w:r>
        <w:rPr>
          <w:rFonts w:ascii="Arial" w:cs="Arial" w:eastAsia="Arial" w:hAnsi="Arial"/>
          <w:color w:val="2D2D2D"/>
          <w:sz w:val="22"/>
          <w:szCs w:val="22"/>
        </w:rPr>
        <w:t xml:space="preserve">Baton (ASP Expandable): Collapsible ASP or Monadnock baton for intermediate force applications.</w:t>
      </w:r>
    </w:p>
    <w:p>
      <w:pPr>
        <w:pStyle w:val="ListParagraph"/>
        <w:numPr>
          <w:ilvl w:val="0"/>
          <w:numId w:val="2"/>
        </w:numPr>
        <w:spacing w:after="60"/>
      </w:pPr>
      <w:r>
        <w:rPr>
          <w:rFonts w:ascii="Arial" w:cs="Arial" w:eastAsia="Arial" w:hAnsi="Arial"/>
          <w:color w:val="2D2D2D"/>
          <w:sz w:val="22"/>
          <w:szCs w:val="22"/>
        </w:rPr>
        <w:t xml:space="preserve">Less-Lethal Shotgun (12ga beanbag, rubber baton rounds): Dedicated less-lethal long gun carried by perimeter security teams for crowd control scenarios.</w:t>
      </w:r>
    </w:p>
    <w:p>
      <w:pPr>
        <w:pStyle w:val="ListParagraph"/>
        <w:numPr>
          <w:ilvl w:val="0"/>
          <w:numId w:val="2"/>
        </w:numPr>
        <w:spacing w:after="60"/>
      </w:pPr>
      <w:r>
        <w:rPr>
          <w:rFonts w:ascii="Arial" w:cs="Arial" w:eastAsia="Arial" w:hAnsi="Arial"/>
          <w:color w:val="2D2D2D"/>
          <w:sz w:val="22"/>
          <w:szCs w:val="22"/>
        </w:rPr>
        <w:t xml:space="preserve">Flashbang / Distraction Grenades: M84 Stun Grenade available to Counter Assault Teams for room-entry and vehicle-extraction scenarios.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B5" w:val="clear"/>
            <w:tcMar>
              <w:top w:type="dxa" w:w="120"/>
              <w:left w:type="dxa" w:w="180"/>
              <w:bottom w:type="dxa" w:w="120"/>
              <w:right w:type="dxa" w:w="180"/>
            </w:tcMar>
          </w:tcPr>
          <w:p>
            <w:pPr>
              <w:spacing w:after="60"/>
            </w:pPr>
            <w:r>
              <w:rPr>
                <w:rFonts w:ascii="Arial" w:cs="Arial" w:eastAsia="Arial" w:hAnsi="Arial"/>
                <w:b/>
                <w:bCs/>
                <w:color w:val="1A2C4E"/>
                <w:sz w:val="22"/>
                <w:szCs w:val="22"/>
              </w:rPr>
              <w:t xml:space="preserve">Weapons Qualification Requirements</w:t>
            </w:r>
          </w:p>
          <w:p>
            <w:r>
              <w:rPr>
                <w:rFonts w:ascii="Arial" w:cs="Arial" w:eastAsia="Arial" w:hAnsi="Arial"/>
                <w:color w:val="2D2D2D"/>
                <w:sz w:val="20"/>
                <w:szCs w:val="20"/>
              </w:rPr>
              <w:t xml:space="preserve">All agents must qualify at Expert level with their primary sidearm quarterly, and with all issued long arms semi-annually. Qualification must be conducted under stress conditions (elevated heart rate, time pressure, low-light scenarios). Failure to qualify results in immediate assignment to non-armed duties pending remediation.</w:t>
            </w:r>
          </w:p>
        </w:tc>
      </w:tr>
    </w:tbl>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5: Protective Equipment and Technology</w:t>
      </w:r>
    </w:p>
    <w:p>
      <w:pPr>
        <w:pStyle w:val="Heading2"/>
        <w:spacing w:before="300" w:after="120"/>
      </w:pPr>
      <w:r>
        <w:rPr>
          <w:rFonts w:ascii="Arial" w:cs="Arial" w:eastAsia="Arial" w:hAnsi="Arial"/>
          <w:b/>
          <w:bCs/>
          <w:color w:val="2E5F8A"/>
          <w:sz w:val="28"/>
          <w:szCs w:val="28"/>
        </w:rPr>
        <w:t xml:space="preserve">5.1 Body Armor Systems</w:t>
      </w:r>
    </w:p>
    <w:p>
      <w:pPr>
        <w:spacing w:after="120"/>
      </w:pPr>
      <w:r>
        <w:rPr>
          <w:rFonts w:ascii="Arial" w:cs="Arial" w:eastAsia="Arial" w:hAnsi="Arial"/>
          <w:color w:val="2D2D2D"/>
          <w:sz w:val="22"/>
          <w:szCs w:val="22"/>
        </w:rPr>
        <w:t xml:space="preserve">Body armor selection for head-of-state protective details must balance ballistic protection with the mobility demands of close protection work and the need for concealment during formal events.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Armor Type</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Standard</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Protection Level</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1872"/>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Example Systems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Concealable Soft Armor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NIJ Level IIIA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Handgun / shotgun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Daily wear under suit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Point Blank, Safariland, Stealth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Hard Plate Carrier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NIJ Level IV</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Rifle / AP rounds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Elevated threat / overt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Crye JPC, Ferro Concepts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CBRN Integrated Vest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NIJ III + CBRN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Ballistic + chemical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WMD threat scenarios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Blücher TYCHEM + body armor</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Explosive Ordnance Outer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Blast overpressure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EOD / IED environments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Med-Eng / Allen Vanguard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Ballistic Helmet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NIJ Level IIIA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Fragmentation / pistol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Tactical situations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Team Wendy EXFIL, Ops-Core FAST</w:t>
            </w:r>
          </w:p>
        </w:tc>
      </w:tr>
    </w:tbl>
    <w:p>
      <w:pPr>
        <w:spacing w:after="160"/>
      </w:pPr>
    </w:p>
    <w:p>
      <w:pPr>
        <w:pStyle w:val="Heading2"/>
        <w:spacing w:before="300" w:after="120"/>
      </w:pPr>
      <w:r>
        <w:rPr>
          <w:rFonts w:ascii="Arial" w:cs="Arial" w:eastAsia="Arial" w:hAnsi="Arial"/>
          <w:b/>
          <w:bCs/>
          <w:color w:val="2E5F8A"/>
          <w:sz w:val="28"/>
          <w:szCs w:val="28"/>
        </w:rPr>
        <w:t xml:space="preserve">5.2 Communications Equipment</w:t>
      </w:r>
    </w:p>
    <w:p>
      <w:pPr>
        <w:spacing w:after="120"/>
      </w:pPr>
      <w:r>
        <w:rPr>
          <w:rFonts w:ascii="Arial" w:cs="Arial" w:eastAsia="Arial" w:hAnsi="Arial"/>
          <w:color w:val="2D2D2D"/>
          <w:sz w:val="22"/>
          <w:szCs w:val="22"/>
        </w:rPr>
        <w:t xml:space="preserve">Secure, redundant communications are existential to protective operations. A communications failure at a critical moment has historically contributed to protective failures.</w:t>
      </w:r>
    </w:p>
    <w:p>
      <w:pPr>
        <w:pStyle w:val="ListParagraph"/>
        <w:numPr>
          <w:ilvl w:val="0"/>
          <w:numId w:val="2"/>
        </w:numPr>
        <w:spacing w:after="60"/>
      </w:pPr>
      <w:r>
        <w:rPr>
          <w:rFonts w:ascii="Arial" w:cs="Arial" w:eastAsia="Arial" w:hAnsi="Arial"/>
          <w:color w:val="2D2D2D"/>
          <w:sz w:val="22"/>
          <w:szCs w:val="22"/>
        </w:rPr>
        <w:t xml:space="preserve">Primary: Motorola APX 8000XE or equivalent encrypted tactical radio (AES-256). Each agent carries dedicated earpiece (acoustic tube or clear silicone) and wrist-mounted push-to-talk.</w:t>
      </w:r>
    </w:p>
    <w:p>
      <w:pPr>
        <w:pStyle w:val="ListParagraph"/>
        <w:numPr>
          <w:ilvl w:val="0"/>
          <w:numId w:val="2"/>
        </w:numPr>
        <w:spacing w:after="60"/>
      </w:pPr>
      <w:r>
        <w:rPr>
          <w:rFonts w:ascii="Arial" w:cs="Arial" w:eastAsia="Arial" w:hAnsi="Arial"/>
          <w:color w:val="2D2D2D"/>
          <w:sz w:val="22"/>
          <w:szCs w:val="22"/>
        </w:rPr>
        <w:t xml:space="preserve">Secondary: Encrypted cellular via hardened government device (iPhone with NIPR/SIPR configuration for USSS; IDF-encrypted Android for Shin Bet; Huawei-based secured platform for CSPF).</w:t>
      </w:r>
    </w:p>
    <w:p>
      <w:pPr>
        <w:pStyle w:val="ListParagraph"/>
        <w:numPr>
          <w:ilvl w:val="0"/>
          <w:numId w:val="2"/>
        </w:numPr>
        <w:spacing w:after="60"/>
      </w:pPr>
      <w:r>
        <w:rPr>
          <w:rFonts w:ascii="Arial" w:cs="Arial" w:eastAsia="Arial" w:hAnsi="Arial"/>
          <w:color w:val="2D2D2D"/>
          <w:sz w:val="22"/>
          <w:szCs w:val="22"/>
        </w:rPr>
        <w:t xml:space="preserve">Tertiary: Secure satellite comms unit (Iridium Extreme or military SATCOM) for remote or degraded-environment operations.</w:t>
      </w:r>
    </w:p>
    <w:p>
      <w:pPr>
        <w:pStyle w:val="ListParagraph"/>
        <w:numPr>
          <w:ilvl w:val="0"/>
          <w:numId w:val="2"/>
        </w:numPr>
        <w:spacing w:after="60"/>
      </w:pPr>
      <w:r>
        <w:rPr>
          <w:rFonts w:ascii="Arial" w:cs="Arial" w:eastAsia="Arial" w:hAnsi="Arial"/>
          <w:color w:val="2D2D2D"/>
          <w:sz w:val="22"/>
          <w:szCs w:val="22"/>
        </w:rPr>
        <w:t xml:space="preserve">Counter-Surveillance Comms: All intra-team comms encrypted with frequency-hopping. TSCM (Technical Surveillance Countermeasures) sweeps of all vehicles and advance locations before principal arrival.</w:t>
      </w:r>
    </w:p>
    <w:p>
      <w:pPr>
        <w:spacing w:after="160"/>
      </w:pPr>
    </w:p>
    <w:p>
      <w:pPr>
        <w:pStyle w:val="Heading2"/>
        <w:spacing w:before="300" w:after="120"/>
      </w:pPr>
      <w:r>
        <w:rPr>
          <w:rFonts w:ascii="Arial" w:cs="Arial" w:eastAsia="Arial" w:hAnsi="Arial"/>
          <w:b/>
          <w:bCs/>
          <w:color w:val="2E5F8A"/>
          <w:sz w:val="28"/>
          <w:szCs w:val="28"/>
        </w:rPr>
        <w:t xml:space="preserve">5.3 Surveillance and Counter-Surveillance Technology</w:t>
      </w:r>
    </w:p>
    <w:p>
      <w:pPr>
        <w:pStyle w:val="ListParagraph"/>
        <w:numPr>
          <w:ilvl w:val="0"/>
          <w:numId w:val="2"/>
        </w:numPr>
        <w:spacing w:after="60"/>
      </w:pPr>
      <w:r>
        <w:rPr>
          <w:rFonts w:ascii="Arial" w:cs="Arial" w:eastAsia="Arial" w:hAnsi="Arial"/>
          <w:color w:val="2D2D2D"/>
          <w:sz w:val="22"/>
          <w:szCs w:val="22"/>
        </w:rPr>
        <w:t xml:space="preserve">Miniaturized CCTV Networks: Advance teams install temporary covert camera systems at event venues feeding to a secure tactical operations center (TOC).</w:t>
      </w:r>
    </w:p>
    <w:p>
      <w:pPr>
        <w:pStyle w:val="ListParagraph"/>
        <w:numPr>
          <w:ilvl w:val="0"/>
          <w:numId w:val="2"/>
        </w:numPr>
        <w:spacing w:after="60"/>
      </w:pPr>
      <w:r>
        <w:rPr>
          <w:rFonts w:ascii="Arial" w:cs="Arial" w:eastAsia="Arial" w:hAnsi="Arial"/>
          <w:color w:val="2D2D2D"/>
          <w:sz w:val="22"/>
          <w:szCs w:val="22"/>
        </w:rPr>
        <w:t xml:space="preserve">Drone Detection Systems: DroneShield DroneSentry, D-Fend Solutions EnforceAir, or DJI AeroScope arrays deployed at all outdoor venues. Jamming capability maintained by Counter-UAS teams.</w:t>
      </w:r>
    </w:p>
    <w:p>
      <w:pPr>
        <w:pStyle w:val="ListParagraph"/>
        <w:numPr>
          <w:ilvl w:val="0"/>
          <w:numId w:val="2"/>
        </w:numPr>
        <w:spacing w:after="60"/>
      </w:pPr>
      <w:r>
        <w:rPr>
          <w:rFonts w:ascii="Arial" w:cs="Arial" w:eastAsia="Arial" w:hAnsi="Arial"/>
          <w:color w:val="2D2D2D"/>
          <w:sz w:val="22"/>
          <w:szCs w:val="22"/>
        </w:rPr>
        <w:t xml:space="preserve">Counter-Drone Systems: Dedrone RF sensors + hard-kill options including high-energy laser systems (Raytheon HELIOS class) for critical fixed sites.</w:t>
      </w:r>
    </w:p>
    <w:p>
      <w:pPr>
        <w:pStyle w:val="ListParagraph"/>
        <w:numPr>
          <w:ilvl w:val="0"/>
          <w:numId w:val="2"/>
        </w:numPr>
        <w:spacing w:after="60"/>
      </w:pPr>
      <w:r>
        <w:rPr>
          <w:rFonts w:ascii="Arial" w:cs="Arial" w:eastAsia="Arial" w:hAnsi="Arial"/>
          <w:color w:val="2D2D2D"/>
          <w:sz w:val="22"/>
          <w:szCs w:val="22"/>
        </w:rPr>
        <w:t xml:space="preserve">Biometric Access Control: Facial recognition and fingerprint access control at all secure perimeters during major events.</w:t>
      </w:r>
    </w:p>
    <w:p>
      <w:pPr>
        <w:pStyle w:val="ListParagraph"/>
        <w:numPr>
          <w:ilvl w:val="0"/>
          <w:numId w:val="2"/>
        </w:numPr>
        <w:spacing w:after="60"/>
      </w:pPr>
      <w:r>
        <w:rPr>
          <w:rFonts w:ascii="Arial" w:cs="Arial" w:eastAsia="Arial" w:hAnsi="Arial"/>
          <w:color w:val="2D2D2D"/>
          <w:sz w:val="22"/>
          <w:szCs w:val="22"/>
        </w:rPr>
        <w:t xml:space="preserve">Electronic Eavesdropping Detection: Non-linear junction detectors (NLJD), spectrum analyzers, and RF anomaly detection in all advance security sweeps.</w:t>
      </w:r>
    </w:p>
    <w:p>
      <w:pPr>
        <w:spacing w:after="160"/>
      </w:pPr>
    </w:p>
    <w:p>
      <w:pPr>
        <w:pStyle w:val="Heading2"/>
        <w:spacing w:before="300" w:after="120"/>
      </w:pPr>
      <w:r>
        <w:rPr>
          <w:rFonts w:ascii="Arial" w:cs="Arial" w:eastAsia="Arial" w:hAnsi="Arial"/>
          <w:b/>
          <w:bCs/>
          <w:color w:val="2E5F8A"/>
          <w:sz w:val="28"/>
          <w:szCs w:val="28"/>
        </w:rPr>
        <w:t xml:space="preserve">5.4 Protective Vehicles</w:t>
      </w:r>
    </w:p>
    <w:p>
      <w:pPr>
        <w:spacing w:after="120"/>
      </w:pPr>
      <w:r>
        <w:rPr>
          <w:rFonts w:ascii="Arial" w:cs="Arial" w:eastAsia="Arial" w:hAnsi="Arial"/>
          <w:color w:val="2D2D2D"/>
          <w:sz w:val="22"/>
          <w:szCs w:val="22"/>
        </w:rPr>
        <w:t xml:space="preserve">The armored vehicle is one of the most critical protective assets. Vehicle specifications are classified but publicly available information documents the following general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Vehicle Role</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Example Platform</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Agency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Presidential Limousine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Cadillac CT6-based 'The Beast'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B7 armor, 8-inch armored doors, sealed cabin, O2 supply, firefighting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USSS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Follow Car / CAT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Chevy Suburban / Ford Expedition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B6 armor, run-flat tires, weapons locker, medical kit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Rapid Response Vehicle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Mercedes G63 AMG / Land Cruiser 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B6 armor, tactical comms, quick-reaction team transport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Shin Bet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Ambulance (Shadow)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Mercedes-Benz Sprinter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Full trauma suite, O-neg blood supply, Level II trauma capability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All agencies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Counter-Assault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MRAP-class / tactical SUV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Heavy weapons mount, ECM suite, 6–8 CAT personnel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USSS / CSPF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Air Support Helicopter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Sikorsky VH-92A (Marine 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Full defensive suite, secure comms, MANPADS countermeasures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USMC / USSS</w:t>
            </w:r>
          </w:p>
        </w:tc>
      </w:tr>
    </w:tbl>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6: Advance Operations</w:t>
      </w:r>
    </w:p>
    <w:p>
      <w:pPr>
        <w:pStyle w:val="Heading2"/>
        <w:spacing w:before="300" w:after="120"/>
      </w:pPr>
      <w:r>
        <w:rPr>
          <w:rFonts w:ascii="Arial" w:cs="Arial" w:eastAsia="Arial" w:hAnsi="Arial"/>
          <w:b/>
          <w:bCs/>
          <w:color w:val="2E5F8A"/>
          <w:sz w:val="28"/>
          <w:szCs w:val="28"/>
        </w:rPr>
        <w:t xml:space="preserve">6.1 The Advance Concept</w:t>
      </w:r>
    </w:p>
    <w:p>
      <w:pPr>
        <w:spacing w:after="120"/>
      </w:pPr>
      <w:r>
        <w:rPr>
          <w:rFonts w:ascii="Arial" w:cs="Arial" w:eastAsia="Arial" w:hAnsi="Arial"/>
          <w:color w:val="2D2D2D"/>
          <w:sz w:val="22"/>
          <w:szCs w:val="22"/>
        </w:rPr>
        <w:t xml:space="preserve">Advance work is the cornerstone of protective security. Every location the principal will visit must be comprehensively assessed, secured, and prepared before the principal's arrival. The lead advance agent (LAA) is responsible for the entire security architecture of a given site.</w:t>
      </w:r>
    </w:p>
    <w:p>
      <w:pPr>
        <w:spacing w:after="160"/>
      </w:pPr>
    </w:p>
    <w:p>
      <w:pPr>
        <w:pStyle w:val="Heading2"/>
        <w:spacing w:before="300" w:after="120"/>
      </w:pPr>
      <w:r>
        <w:rPr>
          <w:rFonts w:ascii="Arial" w:cs="Arial" w:eastAsia="Arial" w:hAnsi="Arial"/>
          <w:b/>
          <w:bCs/>
          <w:color w:val="2E5F8A"/>
          <w:sz w:val="28"/>
          <w:szCs w:val="28"/>
        </w:rPr>
        <w:t xml:space="preserve">6.2 Site Survey Protocol</w:t>
      </w:r>
    </w:p>
    <w:p>
      <w:pPr>
        <w:pStyle w:val="ListParagraph"/>
        <w:numPr>
          <w:ilvl w:val="0"/>
          <w:numId w:val="3"/>
        </w:numPr>
        <w:spacing w:after="80"/>
      </w:pPr>
      <w:r>
        <w:rPr>
          <w:rFonts w:ascii="Arial" w:cs="Arial" w:eastAsia="Arial" w:hAnsi="Arial"/>
          <w:color w:val="2D2D2D"/>
          <w:sz w:val="22"/>
          <w:szCs w:val="22"/>
        </w:rPr>
        <w:t xml:space="preserve">Initial Intelligence Review: Before physical survey, the advance team reviews all available intelligence on the location — threat reporting, venue history, previous security incidents, local law enforcement reporting, and social media monitoring.</w:t>
      </w:r>
    </w:p>
    <w:p>
      <w:pPr>
        <w:pStyle w:val="ListParagraph"/>
        <w:numPr>
          <w:ilvl w:val="0"/>
          <w:numId w:val="3"/>
        </w:numPr>
        <w:spacing w:after="80"/>
      </w:pPr>
      <w:r>
        <w:rPr>
          <w:rFonts w:ascii="Arial" w:cs="Arial" w:eastAsia="Arial" w:hAnsi="Arial"/>
          <w:color w:val="2D2D2D"/>
          <w:sz w:val="22"/>
          <w:szCs w:val="22"/>
        </w:rPr>
        <w:t xml:space="preserve">Physical Survey: The advance team walks every route the principal will travel, every room the principal will occupy, all adjacent spaces, rooftop and elevated positions, underground approaches, utility access, and all potential weapons-concealment locations.</w:t>
      </w:r>
    </w:p>
    <w:p>
      <w:pPr>
        <w:pStyle w:val="ListParagraph"/>
        <w:numPr>
          <w:ilvl w:val="0"/>
          <w:numId w:val="3"/>
        </w:numPr>
        <w:spacing w:after="80"/>
      </w:pPr>
      <w:r>
        <w:rPr>
          <w:rFonts w:ascii="Arial" w:cs="Arial" w:eastAsia="Arial" w:hAnsi="Arial"/>
          <w:color w:val="2D2D2D"/>
          <w:sz w:val="22"/>
          <w:szCs w:val="22"/>
        </w:rPr>
        <w:t xml:space="preserve">Vulnerability Assessment: Identify all angles of attack, structural vulnerabilities (glass, uncontrolled access points), and operational security gaps.</w:t>
      </w:r>
    </w:p>
    <w:p>
      <w:pPr>
        <w:pStyle w:val="ListParagraph"/>
        <w:numPr>
          <w:ilvl w:val="0"/>
          <w:numId w:val="3"/>
        </w:numPr>
        <w:spacing w:after="80"/>
      </w:pPr>
      <w:r>
        <w:rPr>
          <w:rFonts w:ascii="Arial" w:cs="Arial" w:eastAsia="Arial" w:hAnsi="Arial"/>
          <w:color w:val="2D2D2D"/>
          <w:sz w:val="22"/>
          <w:szCs w:val="22"/>
        </w:rPr>
        <w:t xml:space="preserve">Command Post Establishment: Designate and establish the Advance Command Post (ACP) with secure comms, CCTV monitoring, and direct lines to all protective assets.</w:t>
      </w:r>
    </w:p>
    <w:p>
      <w:pPr>
        <w:pStyle w:val="ListParagraph"/>
        <w:numPr>
          <w:ilvl w:val="0"/>
          <w:numId w:val="3"/>
        </w:numPr>
        <w:spacing w:after="80"/>
      </w:pPr>
      <w:r>
        <w:rPr>
          <w:rFonts w:ascii="Arial" w:cs="Arial" w:eastAsia="Arial" w:hAnsi="Arial"/>
          <w:color w:val="2D2D2D"/>
          <w:sz w:val="22"/>
          <w:szCs w:val="22"/>
        </w:rPr>
        <w:t xml:space="preserve">Coordinate with Local Authorities: Formal liaison with host-nation or local law enforcement, bomb squad, medical services, and emergency response. Define clear chains of command and communication protocols.</w:t>
      </w:r>
    </w:p>
    <w:p>
      <w:pPr>
        <w:pStyle w:val="ListParagraph"/>
        <w:numPr>
          <w:ilvl w:val="0"/>
          <w:numId w:val="3"/>
        </w:numPr>
        <w:spacing w:after="80"/>
      </w:pPr>
      <w:r>
        <w:rPr>
          <w:rFonts w:ascii="Arial" w:cs="Arial" w:eastAsia="Arial" w:hAnsi="Arial"/>
          <w:color w:val="2D2D2D"/>
          <w:sz w:val="22"/>
          <w:szCs w:val="22"/>
        </w:rPr>
        <w:t xml:space="preserve">Rehearsal: Conduct full rehearsal of arrival, event, emergency evacuation, and departure scenarios before principal arrival.</w:t>
      </w:r>
    </w:p>
    <w:p>
      <w:pPr>
        <w:pStyle w:val="ListParagraph"/>
        <w:numPr>
          <w:ilvl w:val="0"/>
          <w:numId w:val="3"/>
        </w:numPr>
        <w:spacing w:after="80"/>
      </w:pPr>
      <w:r>
        <w:rPr>
          <w:rFonts w:ascii="Arial" w:cs="Arial" w:eastAsia="Arial" w:hAnsi="Arial"/>
          <w:color w:val="2D2D2D"/>
          <w:sz w:val="22"/>
          <w:szCs w:val="22"/>
        </w:rPr>
        <w:t xml:space="preserve">Final Security Sweep: Technical surveillance countermeasures sweep, canine explosive detection sweep, credentialing check for all authorized personnel, and final communications check.</w:t>
      </w:r>
    </w:p>
    <w:p>
      <w:pPr>
        <w:spacing w:after="160"/>
      </w:pPr>
    </w:p>
    <w:p>
      <w:pPr>
        <w:pStyle w:val="Heading2"/>
        <w:spacing w:before="300" w:after="120"/>
      </w:pPr>
      <w:r>
        <w:rPr>
          <w:rFonts w:ascii="Arial" w:cs="Arial" w:eastAsia="Arial" w:hAnsi="Arial"/>
          <w:b/>
          <w:bCs/>
          <w:color w:val="2E5F8A"/>
          <w:sz w:val="28"/>
          <w:szCs w:val="28"/>
        </w:rPr>
        <w:t xml:space="preserve">6.3 Sterile Zones and Access Control</w:t>
      </w:r>
    </w:p>
    <w:p>
      <w:pPr>
        <w:spacing w:after="120"/>
      </w:pPr>
      <w:r>
        <w:rPr>
          <w:rFonts w:ascii="Arial" w:cs="Arial" w:eastAsia="Arial" w:hAnsi="Arial"/>
          <w:color w:val="2D2D2D"/>
          <w:sz w:val="22"/>
          <w:szCs w:val="22"/>
        </w:rPr>
        <w:t xml:space="preserve">Access control is established in concentric rings from the protectee's position outward:</w:t>
      </w:r>
    </w:p>
    <w:p>
      <w:pPr>
        <w:pStyle w:val="ListParagraph"/>
        <w:numPr>
          <w:ilvl w:val="0"/>
          <w:numId w:val="2"/>
        </w:numPr>
        <w:spacing w:after="60"/>
      </w:pPr>
      <w:r>
        <w:rPr>
          <w:rFonts w:ascii="Arial" w:cs="Arial" w:eastAsia="Arial" w:hAnsi="Arial"/>
          <w:color w:val="2D2D2D"/>
          <w:sz w:val="22"/>
          <w:szCs w:val="22"/>
        </w:rPr>
        <w:t xml:space="preserve">Inner Perimeter (Red Zone): Direct principal environment. Access limited to vetted detail agents and cleared principal staff. No uninspected items or persons permitted.</w:t>
      </w:r>
    </w:p>
    <w:p>
      <w:pPr>
        <w:pStyle w:val="ListParagraph"/>
        <w:numPr>
          <w:ilvl w:val="0"/>
          <w:numId w:val="2"/>
        </w:numPr>
        <w:spacing w:after="60"/>
      </w:pPr>
      <w:r>
        <w:rPr>
          <w:rFonts w:ascii="Arial" w:cs="Arial" w:eastAsia="Arial" w:hAnsi="Arial"/>
          <w:color w:val="2D2D2D"/>
          <w:sz w:val="22"/>
          <w:szCs w:val="22"/>
        </w:rPr>
        <w:t xml:space="preserve">Middle Perimeter (Amber Zone): Event staff, invited guests, media with full credentialing. All bags X-rayed, magnetometers in use, law enforcement visible presence.</w:t>
      </w:r>
    </w:p>
    <w:p>
      <w:pPr>
        <w:pStyle w:val="ListParagraph"/>
        <w:numPr>
          <w:ilvl w:val="0"/>
          <w:numId w:val="2"/>
        </w:numPr>
        <w:spacing w:after="60"/>
      </w:pPr>
      <w:r>
        <w:rPr>
          <w:rFonts w:ascii="Arial" w:cs="Arial" w:eastAsia="Arial" w:hAnsi="Arial"/>
          <w:color w:val="2D2D2D"/>
          <w:sz w:val="22"/>
          <w:szCs w:val="22"/>
        </w:rPr>
        <w:t xml:space="preserve">Outer Perimeter (Green Zone): General public zone. Uniformed law enforcement presence, vehicle barriers, perimeter fencing, and counter-surveillance patrols.</w:t>
      </w:r>
    </w:p>
    <w:p>
      <w:pPr>
        <w:pStyle w:val="ListParagraph"/>
        <w:numPr>
          <w:ilvl w:val="0"/>
          <w:numId w:val="2"/>
        </w:numPr>
        <w:spacing w:after="60"/>
      </w:pPr>
      <w:r>
        <w:rPr>
          <w:rFonts w:ascii="Arial" w:cs="Arial" w:eastAsia="Arial" w:hAnsi="Arial"/>
          <w:color w:val="2D2D2D"/>
          <w:sz w:val="22"/>
          <w:szCs w:val="22"/>
        </w:rPr>
        <w:t xml:space="preserve">Exclusion Zone (Air): Temporary Flight Restriction (TFR) issued for all presidential movements in the US. Equivalent no-fly zones established by host-nation military for Israeli PM and Chinese Premier visits.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pPr>
            <w:r>
              <w:rPr>
                <w:rFonts w:ascii="Arial" w:cs="Arial" w:eastAsia="Arial" w:hAnsi="Arial"/>
                <w:b/>
                <w:bCs/>
                <w:color w:val="1A2C4E"/>
                <w:sz w:val="22"/>
                <w:szCs w:val="22"/>
              </w:rPr>
              <w:t xml:space="preserve">Israeli Advance Doctrine Note</w:t>
            </w:r>
          </w:p>
          <w:p>
            <w:r>
              <w:rPr>
                <w:rFonts w:ascii="Arial" w:cs="Arial" w:eastAsia="Arial" w:hAnsi="Arial"/>
                <w:color w:val="2D2D2D"/>
                <w:sz w:val="20"/>
                <w:szCs w:val="20"/>
              </w:rPr>
              <w:t xml:space="preserve">Shin Bet advance teams operate with significantly higher integration of domestic intelligence assets than Western counterparts. Real-time Shin Bet intelligence feeds covering known threats in a given geographic area are integrated into the advance team's situational picture throughout the event, not only during planning phases.</w:t>
            </w:r>
          </w:p>
        </w:tc>
      </w:tr>
    </w:tbl>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7: Medical Preparedness and Tactical Emergency Care</w:t>
      </w:r>
    </w:p>
    <w:p>
      <w:pPr>
        <w:pStyle w:val="Heading2"/>
        <w:spacing w:before="300" w:after="120"/>
      </w:pPr>
      <w:r>
        <w:rPr>
          <w:rFonts w:ascii="Arial" w:cs="Arial" w:eastAsia="Arial" w:hAnsi="Arial"/>
          <w:b/>
          <w:bCs/>
          <w:color w:val="2E5F8A"/>
          <w:sz w:val="28"/>
          <w:szCs w:val="28"/>
        </w:rPr>
        <w:t xml:space="preserve">7.1 Medical Personnel and Assets</w:t>
      </w:r>
    </w:p>
    <w:p>
      <w:pPr>
        <w:spacing w:after="120"/>
      </w:pPr>
      <w:r>
        <w:rPr>
          <w:rFonts w:ascii="Arial" w:cs="Arial" w:eastAsia="Arial" w:hAnsi="Arial"/>
          <w:color w:val="2D2D2D"/>
          <w:sz w:val="22"/>
          <w:szCs w:val="22"/>
        </w:rPr>
        <w:t xml:space="preserve">Every presidential movement in all three agencies incorporates dedicated medical personnel and forward medical assets. The standard is to have trauma-capable medical care available within 90 seconds of any incident, and Level I trauma facility access within 10 minutes.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Asset</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USSS Standard</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Shin Bet Standard</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CSPF Standard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Physician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White House Physician travels with POTUS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Senior military physician on call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 military physician assigned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Trauma Surgeon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 standby at designated hospital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 standby at Shaare Zedek / Hadassah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Designated PLA hospital on standby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Shadow Ambulance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Always in motorcade (USSS Medical)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Always in motorcade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Always in motorcade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Blood Supply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O-neg, O-pos on ambulance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O-neg on vehicle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Universal donor onboard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Defibrillator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 agent trained, AED in every vehicle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AED on detail vehicles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AED on detail vehicles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Agent Medical Training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EMT-B minimum, TCCC required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Combat medic level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Military medical corpsman level</w:t>
            </w:r>
          </w:p>
        </w:tc>
      </w:tr>
    </w:tbl>
    <w:p>
      <w:pPr>
        <w:spacing w:after="160"/>
      </w:pPr>
    </w:p>
    <w:p>
      <w:pPr>
        <w:pStyle w:val="Heading2"/>
        <w:spacing w:before="300" w:after="120"/>
      </w:pPr>
      <w:r>
        <w:rPr>
          <w:rFonts w:ascii="Arial" w:cs="Arial" w:eastAsia="Arial" w:hAnsi="Arial"/>
          <w:b/>
          <w:bCs/>
          <w:color w:val="2E5F8A"/>
          <w:sz w:val="28"/>
          <w:szCs w:val="28"/>
        </w:rPr>
        <w:t xml:space="preserve">7.2 Tactical Combat Casualty Care (TCCC)</w:t>
      </w:r>
    </w:p>
    <w:p>
      <w:pPr>
        <w:spacing w:after="120"/>
      </w:pPr>
      <w:r>
        <w:rPr>
          <w:rFonts w:ascii="Arial" w:cs="Arial" w:eastAsia="Arial" w:hAnsi="Arial"/>
          <w:color w:val="2D2D2D"/>
          <w:sz w:val="22"/>
          <w:szCs w:val="22"/>
        </w:rPr>
        <w:t xml:space="preserve">All close protection agents must be certified in TCCC (US Military standard) or equivalent. The three phases of care are:</w:t>
      </w:r>
    </w:p>
    <w:p>
      <w:pPr>
        <w:pStyle w:val="ListParagraph"/>
        <w:numPr>
          <w:ilvl w:val="0"/>
          <w:numId w:val="2"/>
        </w:numPr>
        <w:spacing w:after="60"/>
      </w:pPr>
      <w:r>
        <w:rPr>
          <w:rFonts w:ascii="Arial" w:cs="Arial" w:eastAsia="Arial" w:hAnsi="Arial"/>
          <w:color w:val="2D2D2D"/>
          <w:sz w:val="22"/>
          <w:szCs w:val="22"/>
        </w:rPr>
        <w:t xml:space="preserve">Care Under Fire (CUF): Return fire, move protectee to cover, apply tourniquet to life-threatening extremity hemorrhage only. No other interventions while under active fire.</w:t>
      </w:r>
    </w:p>
    <w:p>
      <w:pPr>
        <w:pStyle w:val="ListParagraph"/>
        <w:numPr>
          <w:ilvl w:val="0"/>
          <w:numId w:val="2"/>
        </w:numPr>
        <w:spacing w:after="60"/>
      </w:pPr>
      <w:r>
        <w:rPr>
          <w:rFonts w:ascii="Arial" w:cs="Arial" w:eastAsia="Arial" w:hAnsi="Arial"/>
          <w:color w:val="2D2D2D"/>
          <w:sz w:val="22"/>
          <w:szCs w:val="22"/>
        </w:rPr>
        <w:t xml:space="preserve">Tactical Field Care (TFC): Once in covered position and fire is suppressed, comprehensive hemorrhage control (tourniquet, wound packing with QuikClot/Combat Gauze, pressure dressings), airway management, tension pneumothorax decompression, shock management.</w:t>
      </w:r>
    </w:p>
    <w:p>
      <w:pPr>
        <w:pStyle w:val="ListParagraph"/>
        <w:numPr>
          <w:ilvl w:val="0"/>
          <w:numId w:val="2"/>
        </w:numPr>
        <w:spacing w:after="60"/>
      </w:pPr>
      <w:r>
        <w:rPr>
          <w:rFonts w:ascii="Arial" w:cs="Arial" w:eastAsia="Arial" w:hAnsi="Arial"/>
          <w:color w:val="2D2D2D"/>
          <w:sz w:val="22"/>
          <w:szCs w:val="22"/>
        </w:rPr>
        <w:t xml:space="preserve">Tactical Evacuation Care (TACEVAC): Sustained care during evacuation to definitive medical care. IV/IO access, fluid resuscitation, reassessment of all interventions.</w:t>
      </w:r>
    </w:p>
    <w:p>
      <w:pPr>
        <w:spacing w:after="160"/>
      </w:pPr>
    </w:p>
    <w:p>
      <w:pPr>
        <w:pStyle w:val="Heading2"/>
        <w:spacing w:before="300" w:after="120"/>
      </w:pPr>
      <w:r>
        <w:rPr>
          <w:rFonts w:ascii="Arial" w:cs="Arial" w:eastAsia="Arial" w:hAnsi="Arial"/>
          <w:b/>
          <w:bCs/>
          <w:color w:val="2E5F8A"/>
          <w:sz w:val="28"/>
          <w:szCs w:val="28"/>
        </w:rPr>
        <w:t xml:space="preserve">7.3 Individual First Aid Kit (IFAK) Standard</w:t>
      </w:r>
    </w:p>
    <w:p>
      <w:pPr>
        <w:spacing w:after="120"/>
      </w:pPr>
      <w:r>
        <w:rPr>
          <w:rFonts w:ascii="Arial" w:cs="Arial" w:eastAsia="Arial" w:hAnsi="Arial"/>
          <w:color w:val="2D2D2D"/>
          <w:sz w:val="22"/>
          <w:szCs w:val="22"/>
        </w:rPr>
        <w:t xml:space="preserve">Every agent carries a standardized IFAK accessible in under 10 seconds:</w:t>
      </w:r>
    </w:p>
    <w:p>
      <w:pPr>
        <w:pStyle w:val="ListParagraph"/>
        <w:numPr>
          <w:ilvl w:val="0"/>
          <w:numId w:val="2"/>
        </w:numPr>
        <w:spacing w:after="60"/>
      </w:pPr>
      <w:r>
        <w:rPr>
          <w:rFonts w:ascii="Arial" w:cs="Arial" w:eastAsia="Arial" w:hAnsi="Arial"/>
          <w:color w:val="2D2D2D"/>
          <w:sz w:val="22"/>
          <w:szCs w:val="22"/>
        </w:rPr>
        <w:t xml:space="preserve">CAT Gen-7 tourniquet (minimum 2 per agent)</w:t>
      </w:r>
    </w:p>
    <w:p>
      <w:pPr>
        <w:pStyle w:val="ListParagraph"/>
        <w:numPr>
          <w:ilvl w:val="0"/>
          <w:numId w:val="2"/>
        </w:numPr>
        <w:spacing w:after="60"/>
      </w:pPr>
      <w:r>
        <w:rPr>
          <w:rFonts w:ascii="Arial" w:cs="Arial" w:eastAsia="Arial" w:hAnsi="Arial"/>
          <w:color w:val="2D2D2D"/>
          <w:sz w:val="22"/>
          <w:szCs w:val="22"/>
        </w:rPr>
        <w:t xml:space="preserve">NAR Combat Gauze hemostatic dressing (2 packages)</w:t>
      </w:r>
    </w:p>
    <w:p>
      <w:pPr>
        <w:pStyle w:val="ListParagraph"/>
        <w:numPr>
          <w:ilvl w:val="0"/>
          <w:numId w:val="2"/>
        </w:numPr>
        <w:spacing w:after="60"/>
      </w:pPr>
      <w:r>
        <w:rPr>
          <w:rFonts w:ascii="Arial" w:cs="Arial" w:eastAsia="Arial" w:hAnsi="Arial"/>
          <w:color w:val="2D2D2D"/>
          <w:sz w:val="22"/>
          <w:szCs w:val="22"/>
        </w:rPr>
        <w:t xml:space="preserve">Pressure bandage (Israeli Battle Dressing or OLAES)</w:t>
      </w:r>
    </w:p>
    <w:p>
      <w:pPr>
        <w:pStyle w:val="ListParagraph"/>
        <w:numPr>
          <w:ilvl w:val="0"/>
          <w:numId w:val="2"/>
        </w:numPr>
        <w:spacing w:after="60"/>
      </w:pPr>
      <w:r>
        <w:rPr>
          <w:rFonts w:ascii="Arial" w:cs="Arial" w:eastAsia="Arial" w:hAnsi="Arial"/>
          <w:color w:val="2D2D2D"/>
          <w:sz w:val="22"/>
          <w:szCs w:val="22"/>
        </w:rPr>
        <w:t xml:space="preserve">Chest seals (Hyfin vented, 2-pack)</w:t>
      </w:r>
    </w:p>
    <w:p>
      <w:pPr>
        <w:pStyle w:val="ListParagraph"/>
        <w:numPr>
          <w:ilvl w:val="0"/>
          <w:numId w:val="2"/>
        </w:numPr>
        <w:spacing w:after="60"/>
      </w:pPr>
      <w:r>
        <w:rPr>
          <w:rFonts w:ascii="Arial" w:cs="Arial" w:eastAsia="Arial" w:hAnsi="Arial"/>
          <w:color w:val="2D2D2D"/>
          <w:sz w:val="22"/>
          <w:szCs w:val="22"/>
        </w:rPr>
        <w:t xml:space="preserve">Decompression needle (14g, 3.25-inch for tension pneumothorax)</w:t>
      </w:r>
    </w:p>
    <w:p>
      <w:pPr>
        <w:pStyle w:val="ListParagraph"/>
        <w:numPr>
          <w:ilvl w:val="0"/>
          <w:numId w:val="2"/>
        </w:numPr>
        <w:spacing w:after="60"/>
      </w:pPr>
      <w:r>
        <w:rPr>
          <w:rFonts w:ascii="Arial" w:cs="Arial" w:eastAsia="Arial" w:hAnsi="Arial"/>
          <w:color w:val="2D2D2D"/>
          <w:sz w:val="22"/>
          <w:szCs w:val="22"/>
        </w:rPr>
        <w:t xml:space="preserve">Combat airway (nasopharyngeal airway, NPA 28Fr)</w:t>
      </w:r>
    </w:p>
    <w:p>
      <w:pPr>
        <w:pStyle w:val="ListParagraph"/>
        <w:numPr>
          <w:ilvl w:val="0"/>
          <w:numId w:val="2"/>
        </w:numPr>
        <w:spacing w:after="60"/>
      </w:pPr>
      <w:r>
        <w:rPr>
          <w:rFonts w:ascii="Arial" w:cs="Arial" w:eastAsia="Arial" w:hAnsi="Arial"/>
          <w:color w:val="2D2D2D"/>
          <w:sz w:val="22"/>
          <w:szCs w:val="22"/>
        </w:rPr>
        <w:t xml:space="preserve">Emergency trauma shears</w:t>
      </w:r>
    </w:p>
    <w:p>
      <w:pPr>
        <w:pStyle w:val="ListParagraph"/>
        <w:numPr>
          <w:ilvl w:val="0"/>
          <w:numId w:val="2"/>
        </w:numPr>
        <w:spacing w:after="60"/>
      </w:pPr>
      <w:r>
        <w:rPr>
          <w:rFonts w:ascii="Arial" w:cs="Arial" w:eastAsia="Arial" w:hAnsi="Arial"/>
          <w:color w:val="2D2D2D"/>
          <w:sz w:val="22"/>
          <w:szCs w:val="22"/>
        </w:rPr>
        <w:t xml:space="preserve">Gloves (nitrile, 2 pairs)</w:t>
      </w:r>
    </w:p>
    <w:p>
      <w:pPr>
        <w:pStyle w:val="ListParagraph"/>
        <w:numPr>
          <w:ilvl w:val="0"/>
          <w:numId w:val="2"/>
        </w:numPr>
        <w:spacing w:after="60"/>
      </w:pPr>
      <w:r>
        <w:rPr>
          <w:rFonts w:ascii="Arial" w:cs="Arial" w:eastAsia="Arial" w:hAnsi="Arial"/>
          <w:color w:val="2D2D2D"/>
          <w:sz w:val="22"/>
          <w:szCs w:val="22"/>
        </w:rPr>
        <w:t xml:space="preserve">Permanent marker (for tourniquet time notation)</w:t>
      </w:r>
    </w:p>
    <w:p>
      <w:pPr>
        <w:pStyle w:val="ListParagraph"/>
        <w:numPr>
          <w:ilvl w:val="0"/>
          <w:numId w:val="2"/>
        </w:numPr>
        <w:spacing w:after="60"/>
      </w:pPr>
      <w:r>
        <w:rPr>
          <w:rFonts w:ascii="Arial" w:cs="Arial" w:eastAsia="Arial" w:hAnsi="Arial"/>
          <w:color w:val="2D2D2D"/>
          <w:sz w:val="22"/>
          <w:szCs w:val="22"/>
        </w:rPr>
        <w:t xml:space="preserve">Space blanket (Mylar, hypothermia prevention)</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8: Motorcade Operations</w:t>
      </w:r>
    </w:p>
    <w:p>
      <w:pPr>
        <w:pStyle w:val="Heading2"/>
        <w:spacing w:before="300" w:after="120"/>
      </w:pPr>
      <w:r>
        <w:rPr>
          <w:rFonts w:ascii="Arial" w:cs="Arial" w:eastAsia="Arial" w:hAnsi="Arial"/>
          <w:b/>
          <w:bCs/>
          <w:color w:val="2E5F8A"/>
          <w:sz w:val="28"/>
          <w:szCs w:val="28"/>
        </w:rPr>
        <w:t xml:space="preserve">8.1 Motorcade Composition</w:t>
      </w:r>
    </w:p>
    <w:p>
      <w:pPr>
        <w:spacing w:after="120"/>
      </w:pPr>
      <w:r>
        <w:rPr>
          <w:rFonts w:ascii="Arial" w:cs="Arial" w:eastAsia="Arial" w:hAnsi="Arial"/>
          <w:color w:val="2D2D2D"/>
          <w:sz w:val="22"/>
          <w:szCs w:val="22"/>
        </w:rPr>
        <w:t xml:space="preserve">The presidential motorcade is a complex, mobile protective platform designed to provide maximum security during ground movement. Composition varies based on threat level and operational requirements, but the following represents a standard high-profile motorcade: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Position</w:t>
            </w:r>
          </w:p>
        </w:tc>
        <w:tc>
          <w:tcPr>
            <w:tcW w:type="dxa" w:w="312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Vehicle</w:t>
            </w:r>
          </w:p>
        </w:tc>
        <w:tc>
          <w:tcPr>
            <w:tcW w:type="dxa" w:w="312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Personnel /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Route Car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Unmarked sedan (2x)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Lead advance; clear route 2 miles ahead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Police Motorcycles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Harley-Davidson / BMW RT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Corridor control; 6–12 motorcycles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Lead Car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Armored SUV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Shift Leader, communications, route coordination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Control Car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Armored SUV</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Whip Agent, coordination of all motorcade elements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Presidential Limousine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Beast' or equivalent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POTUS + Body Agent + WHCA communications officer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Staff Car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Armored SUV</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Chief of Staff, NSA, personal aide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Counter Assault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Armored SUV (2x)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CAT personnel with long arms and heavy weapons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Communications Van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WHCA hardened van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Secure voice/data comms, SATCOM, electronic warfare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Medical Follow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Ambulance or SUV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White House Physician, trauma nurse, full kit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Intelligence Car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Unmarked SUV</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USSS Intelligence, FBI liaison, threat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Local Police Rear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Marked units (variable)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Rear guard, traffic management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Hawkeye (Aerial)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Helicopter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Aerial surveillance and communications relay</w:t>
            </w:r>
          </w:p>
        </w:tc>
      </w:tr>
    </w:tbl>
    <w:p>
      <w:pPr>
        <w:spacing w:after="160"/>
      </w:pPr>
    </w:p>
    <w:p>
      <w:pPr>
        <w:pStyle w:val="Heading2"/>
        <w:spacing w:before="300" w:after="120"/>
      </w:pPr>
      <w:r>
        <w:rPr>
          <w:rFonts w:ascii="Arial" w:cs="Arial" w:eastAsia="Arial" w:hAnsi="Arial"/>
          <w:b/>
          <w:bCs/>
          <w:color w:val="2E5F8A"/>
          <w:sz w:val="28"/>
          <w:szCs w:val="28"/>
        </w:rPr>
        <w:t xml:space="preserve">8.2 Motorcade Speed Protocols</w:t>
      </w:r>
    </w:p>
    <w:p>
      <w:pPr>
        <w:pStyle w:val="ListParagraph"/>
        <w:numPr>
          <w:ilvl w:val="0"/>
          <w:numId w:val="2"/>
        </w:numPr>
        <w:spacing w:after="60"/>
      </w:pPr>
      <w:r>
        <w:rPr>
          <w:rFonts w:ascii="Arial" w:cs="Arial" w:eastAsia="Arial" w:hAnsi="Arial"/>
          <w:color w:val="2D2D2D"/>
          <w:sz w:val="22"/>
          <w:szCs w:val="22"/>
        </w:rPr>
        <w:t xml:space="preserve">Normal movement: 25–40 mph in urban environments; faster on highways. Speed prevents prediction of arrival timing and limits exposure.</w:t>
      </w:r>
    </w:p>
    <w:p>
      <w:pPr>
        <w:pStyle w:val="ListParagraph"/>
        <w:numPr>
          <w:ilvl w:val="0"/>
          <w:numId w:val="2"/>
        </w:numPr>
        <w:spacing w:after="60"/>
      </w:pPr>
      <w:r>
        <w:rPr>
          <w:rFonts w:ascii="Arial" w:cs="Arial" w:eastAsia="Arial" w:hAnsi="Arial"/>
          <w:color w:val="2D2D2D"/>
          <w:sz w:val="22"/>
          <w:szCs w:val="22"/>
        </w:rPr>
        <w:t xml:space="preserve">Threat environment: Speed increases; traffic lights preempted by motorcycle outriders. No stops except at principal destination.</w:t>
      </w:r>
    </w:p>
    <w:p>
      <w:pPr>
        <w:pStyle w:val="ListParagraph"/>
        <w:numPr>
          <w:ilvl w:val="0"/>
          <w:numId w:val="2"/>
        </w:numPr>
        <w:spacing w:after="60"/>
      </w:pPr>
      <w:r>
        <w:rPr>
          <w:rFonts w:ascii="Arial" w:cs="Arial" w:eastAsia="Arial" w:hAnsi="Arial"/>
          <w:color w:val="2D2D2D"/>
          <w:sz w:val="22"/>
          <w:szCs w:val="22"/>
        </w:rPr>
        <w:t xml:space="preserve">Attack response: Immediate acceleration through the kill zone. The Beast's performance specs and run-flat tires enable sustained movement under fire.</w:t>
      </w:r>
    </w:p>
    <w:p>
      <w:pPr>
        <w:pStyle w:val="ListParagraph"/>
        <w:numPr>
          <w:ilvl w:val="0"/>
          <w:numId w:val="2"/>
        </w:numPr>
        <w:spacing w:after="60"/>
      </w:pPr>
      <w:r>
        <w:rPr>
          <w:rFonts w:ascii="Arial" w:cs="Arial" w:eastAsia="Arial" w:hAnsi="Arial"/>
          <w:color w:val="2D2D2D"/>
          <w:sz w:val="22"/>
          <w:szCs w:val="22"/>
        </w:rPr>
        <w:t xml:space="preserve">Counterambush vehicle protocol: If lead vehicles are disabled, Presidential vehicle executes pre-planned J-turn or K-turn. Follow vehicles simultaneously provide suppressive fire.</w:t>
      </w:r>
    </w:p>
    <w:p>
      <w:pPr>
        <w:spacing w:after="160"/>
      </w:pPr>
    </w:p>
    <w:p>
      <w:pPr>
        <w:pStyle w:val="Heading2"/>
        <w:spacing w:before="300" w:after="120"/>
      </w:pPr>
      <w:r>
        <w:rPr>
          <w:rFonts w:ascii="Arial" w:cs="Arial" w:eastAsia="Arial" w:hAnsi="Arial"/>
          <w:b/>
          <w:bCs/>
          <w:color w:val="2E5F8A"/>
          <w:sz w:val="28"/>
          <w:szCs w:val="28"/>
        </w:rPr>
        <w:t xml:space="preserve">8.3 Air Operations — Marine One / HMX-1 Protocol</w:t>
      </w:r>
    </w:p>
    <w:p>
      <w:pPr>
        <w:spacing w:after="120"/>
      </w:pPr>
      <w:r>
        <w:rPr>
          <w:rFonts w:ascii="Arial" w:cs="Arial" w:eastAsia="Arial" w:hAnsi="Arial"/>
          <w:color w:val="2D2D2D"/>
          <w:sz w:val="22"/>
          <w:szCs w:val="22"/>
        </w:rPr>
        <w:t xml:space="preserve">Presidential helicopter operations add complexity and unique vulnerabilities to the protective posture:</w:t>
      </w:r>
    </w:p>
    <w:p>
      <w:pPr>
        <w:pStyle w:val="ListParagraph"/>
        <w:numPr>
          <w:ilvl w:val="0"/>
          <w:numId w:val="2"/>
        </w:numPr>
        <w:spacing w:after="60"/>
      </w:pPr>
      <w:r>
        <w:rPr>
          <w:rFonts w:ascii="Arial" w:cs="Arial" w:eastAsia="Arial" w:hAnsi="Arial"/>
          <w:color w:val="2D2D2D"/>
          <w:sz w:val="22"/>
          <w:szCs w:val="22"/>
        </w:rPr>
        <w:t xml:space="preserve">Decoy aircraft: Multiple identical helicopters operate simultaneously, with POTUS aboard an undisclosed aircraft until final approach.</w:t>
      </w:r>
    </w:p>
    <w:p>
      <w:pPr>
        <w:pStyle w:val="ListParagraph"/>
        <w:numPr>
          <w:ilvl w:val="0"/>
          <w:numId w:val="2"/>
        </w:numPr>
        <w:spacing w:after="60"/>
      </w:pPr>
      <w:r>
        <w:rPr>
          <w:rFonts w:ascii="Arial" w:cs="Arial" w:eastAsia="Arial" w:hAnsi="Arial"/>
          <w:color w:val="2D2D2D"/>
          <w:sz w:val="22"/>
          <w:szCs w:val="22"/>
        </w:rPr>
        <w:t xml:space="preserve">MANPADS threat mitigation: All presidential helicopters equipped with Directional Infrared Countermeasures (DIRCM) and chaff/flare dispensers.</w:t>
      </w:r>
    </w:p>
    <w:p>
      <w:pPr>
        <w:pStyle w:val="ListParagraph"/>
        <w:numPr>
          <w:ilvl w:val="0"/>
          <w:numId w:val="2"/>
        </w:numPr>
        <w:spacing w:after="60"/>
      </w:pPr>
      <w:r>
        <w:rPr>
          <w:rFonts w:ascii="Arial" w:cs="Arial" w:eastAsia="Arial" w:hAnsi="Arial"/>
          <w:color w:val="2D2D2D"/>
          <w:sz w:val="22"/>
          <w:szCs w:val="22"/>
        </w:rPr>
        <w:t xml:space="preserve">Landing zone security: LZ swept by Secret Service, EOD, and canine teams. No unsecured vehicles within 300m. Air defense assets deployed for sensitive LZs.</w:t>
      </w:r>
    </w:p>
    <w:p>
      <w:pPr>
        <w:pStyle w:val="ListParagraph"/>
        <w:numPr>
          <w:ilvl w:val="0"/>
          <w:numId w:val="2"/>
        </w:numPr>
        <w:spacing w:after="60"/>
      </w:pPr>
      <w:r>
        <w:rPr>
          <w:rFonts w:ascii="Arial" w:cs="Arial" w:eastAsia="Arial" w:hAnsi="Arial"/>
          <w:color w:val="2D2D2D"/>
          <w:sz w:val="22"/>
          <w:szCs w:val="22"/>
        </w:rPr>
        <w:t xml:space="preserve">Alternate landing zones: Multiple alternates pre-selected and pre-swept for every presidential helicopter movement.</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9: Surveillance Detection and Counter-Surveillance</w:t>
      </w:r>
    </w:p>
    <w:p>
      <w:pPr>
        <w:pStyle w:val="Heading2"/>
        <w:spacing w:before="300" w:after="120"/>
      </w:pPr>
      <w:r>
        <w:rPr>
          <w:rFonts w:ascii="Arial" w:cs="Arial" w:eastAsia="Arial" w:hAnsi="Arial"/>
          <w:b/>
          <w:bCs/>
          <w:color w:val="2E5F8A"/>
          <w:sz w:val="28"/>
          <w:szCs w:val="28"/>
        </w:rPr>
        <w:t xml:space="preserve">9.1 Pre-Attack Surveillance Recognition</w:t>
      </w:r>
    </w:p>
    <w:p>
      <w:pPr>
        <w:spacing w:after="120"/>
      </w:pPr>
      <w:r>
        <w:rPr>
          <w:rFonts w:ascii="Arial" w:cs="Arial" w:eastAsia="Arial" w:hAnsi="Arial"/>
          <w:color w:val="2D2D2D"/>
          <w:sz w:val="22"/>
          <w:szCs w:val="22"/>
        </w:rPr>
        <w:t xml:space="preserve">Most successful attacks on protected persons are preceded by a surveillance phase. Hostile surveillance typically follows observable patterns that trained agents can detect:</w:t>
      </w:r>
    </w:p>
    <w:p>
      <w:pPr>
        <w:pStyle w:val="ListParagraph"/>
        <w:numPr>
          <w:ilvl w:val="0"/>
          <w:numId w:val="2"/>
        </w:numPr>
        <w:spacing w:after="60"/>
      </w:pPr>
      <w:r>
        <w:rPr>
          <w:rFonts w:ascii="Arial" w:cs="Arial" w:eastAsia="Arial" w:hAnsi="Arial"/>
          <w:color w:val="2D2D2D"/>
          <w:sz w:val="22"/>
          <w:szCs w:val="22"/>
        </w:rPr>
        <w:t xml:space="preserve">Repetitive presence: Same individual or vehicle observed near principal's routine locations on multiple occasions.</w:t>
      </w:r>
    </w:p>
    <w:p>
      <w:pPr>
        <w:pStyle w:val="ListParagraph"/>
        <w:numPr>
          <w:ilvl w:val="0"/>
          <w:numId w:val="2"/>
        </w:numPr>
        <w:spacing w:after="60"/>
      </w:pPr>
      <w:r>
        <w:rPr>
          <w:rFonts w:ascii="Arial" w:cs="Arial" w:eastAsia="Arial" w:hAnsi="Arial"/>
          <w:color w:val="2D2D2D"/>
          <w:sz w:val="22"/>
          <w:szCs w:val="22"/>
        </w:rPr>
        <w:t xml:space="preserve">Unusual interest in security measures: Photography or observation of access control points, vehicle arrangements, agent positions.</w:t>
      </w:r>
    </w:p>
    <w:p>
      <w:pPr>
        <w:pStyle w:val="ListParagraph"/>
        <w:numPr>
          <w:ilvl w:val="0"/>
          <w:numId w:val="2"/>
        </w:numPr>
        <w:spacing w:after="60"/>
      </w:pPr>
      <w:r>
        <w:rPr>
          <w:rFonts w:ascii="Arial" w:cs="Arial" w:eastAsia="Arial" w:hAnsi="Arial"/>
          <w:color w:val="2D2D2D"/>
          <w:sz w:val="22"/>
          <w:szCs w:val="22"/>
        </w:rPr>
        <w:t xml:space="preserve">Behavioral indicators: Nervousness, attempting to blend in while not belonging, unusual dress for environment, concealment of hands or face.</w:t>
      </w:r>
    </w:p>
    <w:p>
      <w:pPr>
        <w:pStyle w:val="ListParagraph"/>
        <w:numPr>
          <w:ilvl w:val="0"/>
          <w:numId w:val="2"/>
        </w:numPr>
        <w:spacing w:after="60"/>
      </w:pPr>
      <w:r>
        <w:rPr>
          <w:rFonts w:ascii="Arial" w:cs="Arial" w:eastAsia="Arial" w:hAnsi="Arial"/>
          <w:color w:val="2D2D2D"/>
          <w:sz w:val="22"/>
          <w:szCs w:val="22"/>
        </w:rPr>
        <w:t xml:space="preserve">Vehicular surveillance: Slow-moving vehicles, vehicles parked with engine running, vehicles following motorcade rehearsals, counter-surveillance detection of surveillance teams.</w:t>
      </w:r>
    </w:p>
    <w:p>
      <w:pPr>
        <w:spacing w:after="160"/>
      </w:pPr>
    </w:p>
    <w:p>
      <w:pPr>
        <w:pStyle w:val="Heading2"/>
        <w:spacing w:before="300" w:after="120"/>
      </w:pPr>
      <w:r>
        <w:rPr>
          <w:rFonts w:ascii="Arial" w:cs="Arial" w:eastAsia="Arial" w:hAnsi="Arial"/>
          <w:b/>
          <w:bCs/>
          <w:color w:val="2E5F8A"/>
          <w:sz w:val="28"/>
          <w:szCs w:val="28"/>
        </w:rPr>
        <w:t xml:space="preserve">9.2 Surveillance Detection Routes (SDR)</w:t>
      </w:r>
    </w:p>
    <w:p>
      <w:pPr>
        <w:spacing w:after="120"/>
      </w:pPr>
      <w:r>
        <w:rPr>
          <w:rFonts w:ascii="Arial" w:cs="Arial" w:eastAsia="Arial" w:hAnsi="Arial"/>
          <w:color w:val="2D2D2D"/>
          <w:sz w:val="22"/>
          <w:szCs w:val="22"/>
        </w:rPr>
        <w:t xml:space="preserve">Agents and principal staff routinely use Surveillance Detection Routes to confirm or deny hostile surveillance before arriving at the principal's location. SDR principles:</w:t>
      </w:r>
    </w:p>
    <w:p>
      <w:pPr>
        <w:pStyle w:val="ListParagraph"/>
        <w:numPr>
          <w:ilvl w:val="0"/>
          <w:numId w:val="3"/>
        </w:numPr>
        <w:spacing w:after="80"/>
      </w:pPr>
      <w:r>
        <w:rPr>
          <w:rFonts w:ascii="Arial" w:cs="Arial" w:eastAsia="Arial" w:hAnsi="Arial"/>
          <w:color w:val="2D2D2D"/>
          <w:sz w:val="22"/>
          <w:szCs w:val="22"/>
        </w:rPr>
        <w:t xml:space="preserve">Plan a route with multiple natural 'choke points' where surveillance vehicles or foot surveillance must expose themselves.</w:t>
      </w:r>
    </w:p>
    <w:p>
      <w:pPr>
        <w:pStyle w:val="ListParagraph"/>
        <w:numPr>
          <w:ilvl w:val="0"/>
          <w:numId w:val="3"/>
        </w:numPr>
        <w:spacing w:after="80"/>
      </w:pPr>
      <w:r>
        <w:rPr>
          <w:rFonts w:ascii="Arial" w:cs="Arial" w:eastAsia="Arial" w:hAnsi="Arial"/>
          <w:color w:val="2D2D2D"/>
          <w:sz w:val="22"/>
          <w:szCs w:val="22"/>
        </w:rPr>
        <w:t xml:space="preserve">Vary routes daily. Never use the same route twice consecutively. Vary departure times and arrival patterns.</w:t>
      </w:r>
    </w:p>
    <w:p>
      <w:pPr>
        <w:pStyle w:val="ListParagraph"/>
        <w:numPr>
          <w:ilvl w:val="0"/>
          <w:numId w:val="3"/>
        </w:numPr>
        <w:spacing w:after="80"/>
      </w:pPr>
      <w:r>
        <w:rPr>
          <w:rFonts w:ascii="Arial" w:cs="Arial" w:eastAsia="Arial" w:hAnsi="Arial"/>
          <w:color w:val="2D2D2D"/>
          <w:sz w:val="22"/>
          <w:szCs w:val="22"/>
        </w:rPr>
        <w:t xml:space="preserve">Conduct 'dry-cleaning' maneuvers: Abrupt turns, reversals, stops to observe who adjusts to match your movement.</w:t>
      </w:r>
    </w:p>
    <w:p>
      <w:pPr>
        <w:pStyle w:val="ListParagraph"/>
        <w:numPr>
          <w:ilvl w:val="0"/>
          <w:numId w:val="3"/>
        </w:numPr>
        <w:spacing w:after="80"/>
      </w:pPr>
      <w:r>
        <w:rPr>
          <w:rFonts w:ascii="Arial" w:cs="Arial" w:eastAsia="Arial" w:hAnsi="Arial"/>
          <w:color w:val="2D2D2D"/>
          <w:sz w:val="22"/>
          <w:szCs w:val="22"/>
        </w:rPr>
        <w:t xml:space="preserve">Mobile surveillance detection team: Separate team traveling the route 30–60 minutes ahead, specifically tasked with identifying surveillance.</w:t>
      </w:r>
    </w:p>
    <w:p>
      <w:pPr>
        <w:spacing w:after="160"/>
      </w:pPr>
    </w:p>
    <w:p>
      <w:pPr>
        <w:pStyle w:val="Heading2"/>
        <w:spacing w:before="300" w:after="120"/>
      </w:pPr>
      <w:r>
        <w:rPr>
          <w:rFonts w:ascii="Arial" w:cs="Arial" w:eastAsia="Arial" w:hAnsi="Arial"/>
          <w:b/>
          <w:bCs/>
          <w:color w:val="2E5F8A"/>
          <w:sz w:val="28"/>
          <w:szCs w:val="28"/>
        </w:rPr>
        <w:t xml:space="preserve">9.3 Electronic Counter-Surveillance</w:t>
      </w:r>
    </w:p>
    <w:p>
      <w:pPr>
        <w:pStyle w:val="ListParagraph"/>
        <w:numPr>
          <w:ilvl w:val="0"/>
          <w:numId w:val="2"/>
        </w:numPr>
        <w:spacing w:after="60"/>
      </w:pPr>
      <w:r>
        <w:rPr>
          <w:rFonts w:ascii="Arial" w:cs="Arial" w:eastAsia="Arial" w:hAnsi="Arial"/>
          <w:color w:val="2D2D2D"/>
          <w:sz w:val="22"/>
          <w:szCs w:val="22"/>
        </w:rPr>
        <w:t xml:space="preserve">Vehicle RF sweeps: All principal vehicles swept for tracking devices before each movement using handheld RF detectors and physical inspection.</w:t>
      </w:r>
    </w:p>
    <w:p>
      <w:pPr>
        <w:pStyle w:val="ListParagraph"/>
        <w:numPr>
          <w:ilvl w:val="0"/>
          <w:numId w:val="2"/>
        </w:numPr>
        <w:spacing w:after="60"/>
      </w:pPr>
      <w:r>
        <w:rPr>
          <w:rFonts w:ascii="Arial" w:cs="Arial" w:eastAsia="Arial" w:hAnsi="Arial"/>
          <w:color w:val="2D2D2D"/>
          <w:sz w:val="22"/>
          <w:szCs w:val="22"/>
        </w:rPr>
        <w:t xml:space="preserve">Phone and electronic device security: USSS mandates no personal electronic devices in senior-agent operations in sensitive compartments. Similar protocols at Shin Bet and CSPF.</w:t>
      </w:r>
    </w:p>
    <w:p>
      <w:pPr>
        <w:pStyle w:val="ListParagraph"/>
        <w:numPr>
          <w:ilvl w:val="0"/>
          <w:numId w:val="2"/>
        </w:numPr>
        <w:spacing w:after="60"/>
      </w:pPr>
      <w:r>
        <w:rPr>
          <w:rFonts w:ascii="Arial" w:cs="Arial" w:eastAsia="Arial" w:hAnsi="Arial"/>
          <w:color w:val="2D2D2D"/>
          <w:sz w:val="22"/>
          <w:szCs w:val="22"/>
        </w:rPr>
        <w:t xml:space="preserve">TSCM operations: Technical Surveillance Countermeasures teams deploy to all accommodation and work locations. NLJD sweeps, RF spectrum analysis, and physical inspection.</w:t>
      </w:r>
    </w:p>
    <w:p>
      <w:pPr>
        <w:pStyle w:val="ListParagraph"/>
        <w:numPr>
          <w:ilvl w:val="0"/>
          <w:numId w:val="2"/>
        </w:numPr>
        <w:spacing w:after="60"/>
      </w:pPr>
      <w:r>
        <w:rPr>
          <w:rFonts w:ascii="Arial" w:cs="Arial" w:eastAsia="Arial" w:hAnsi="Arial"/>
          <w:color w:val="2D2D2D"/>
          <w:sz w:val="22"/>
          <w:szCs w:val="22"/>
        </w:rPr>
        <w:t xml:space="preserve">Social media monitoring: Intelligence teams monitor open-source social media for indicators of planning or surveillance activity near principal locations.</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10: Use of Force, Legal Authority, and Rules of Engagement</w:t>
      </w:r>
    </w:p>
    <w:p>
      <w:pPr>
        <w:pStyle w:val="Heading2"/>
        <w:spacing w:before="300" w:after="120"/>
      </w:pPr>
      <w:r>
        <w:rPr>
          <w:rFonts w:ascii="Arial" w:cs="Arial" w:eastAsia="Arial" w:hAnsi="Arial"/>
          <w:b/>
          <w:bCs/>
          <w:color w:val="2E5F8A"/>
          <w:sz w:val="28"/>
          <w:szCs w:val="28"/>
        </w:rPr>
        <w:t xml:space="preserve">10.1 Legal Frameworks by Agency</w:t>
      </w:r>
    </w:p>
    <w:p>
      <w:pPr>
        <w:spacing w:after="120"/>
      </w:pPr>
      <w:r>
        <w:rPr>
          <w:rFonts w:ascii="Arial" w:cs="Arial" w:eastAsia="Arial" w:hAnsi="Arial"/>
          <w:color w:val="2D2D2D"/>
          <w:sz w:val="22"/>
          <w:szCs w:val="22"/>
        </w:rPr>
        <w:t xml:space="preserve">The legal basis for protective agents' authority to use force differs significantly across the three agencies: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Agency</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Primary Legal Authority</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Use of Force Framework</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International Jurisdiction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USSS (US)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 U.S.C. § 3056; Executive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Federal law enforcement standard + protective mission authority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Extended diplomatic status; host-nation MOUs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Shin Bet (Israel)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Basic Law: The Government; Shin Bet Law 2002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Military-style rules of engagement; broader lethal authority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State-to-state security agreements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CSPF (China)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State Council regulations; PLA authority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Military law framework; classified ROE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Bilateral security protocols</w:t>
            </w:r>
          </w:p>
        </w:tc>
      </w:tr>
    </w:tbl>
    <w:p>
      <w:pPr>
        <w:spacing w:after="160"/>
      </w:pPr>
    </w:p>
    <w:p>
      <w:pPr>
        <w:pStyle w:val="Heading2"/>
        <w:spacing w:before="300" w:after="120"/>
      </w:pPr>
      <w:r>
        <w:rPr>
          <w:rFonts w:ascii="Arial" w:cs="Arial" w:eastAsia="Arial" w:hAnsi="Arial"/>
          <w:b/>
          <w:bCs/>
          <w:color w:val="2E5F8A"/>
          <w:sz w:val="28"/>
          <w:szCs w:val="28"/>
        </w:rPr>
        <w:t xml:space="preserve">10.2 Continuum of Force</w:t>
      </w:r>
    </w:p>
    <w:p>
      <w:pPr>
        <w:spacing w:after="120"/>
      </w:pPr>
      <w:r>
        <w:rPr>
          <w:rFonts w:ascii="Arial" w:cs="Arial" w:eastAsia="Arial" w:hAnsi="Arial"/>
          <w:color w:val="2D2D2D"/>
          <w:sz w:val="22"/>
          <w:szCs w:val="22"/>
        </w:rPr>
        <w:t xml:space="preserve">All three agencies train to a continuum of force model, with the critical distinction that protection of a head of state compresses the decision cycle significantly:</w:t>
      </w:r>
    </w:p>
    <w:p>
      <w:pPr>
        <w:pStyle w:val="ListParagraph"/>
        <w:numPr>
          <w:ilvl w:val="0"/>
          <w:numId w:val="2"/>
        </w:numPr>
        <w:spacing w:after="60"/>
      </w:pPr>
      <w:r>
        <w:rPr>
          <w:rFonts w:ascii="Arial" w:cs="Arial" w:eastAsia="Arial" w:hAnsi="Arial"/>
          <w:color w:val="2D2D2D"/>
          <w:sz w:val="22"/>
          <w:szCs w:val="22"/>
        </w:rPr>
        <w:t xml:space="preserve">Presence and Deterrence: Visible protective posture that deters opportunistic threats.</w:t>
      </w:r>
    </w:p>
    <w:p>
      <w:pPr>
        <w:pStyle w:val="ListParagraph"/>
        <w:numPr>
          <w:ilvl w:val="0"/>
          <w:numId w:val="2"/>
        </w:numPr>
        <w:spacing w:after="60"/>
      </w:pPr>
      <w:r>
        <w:rPr>
          <w:rFonts w:ascii="Arial" w:cs="Arial" w:eastAsia="Arial" w:hAnsi="Arial"/>
          <w:color w:val="2D2D2D"/>
          <w:sz w:val="22"/>
          <w:szCs w:val="22"/>
        </w:rPr>
        <w:t xml:space="preserve">Verbal Commands: Directed at potential threats; compliance sought before escalation.</w:t>
      </w:r>
    </w:p>
    <w:p>
      <w:pPr>
        <w:pStyle w:val="ListParagraph"/>
        <w:numPr>
          <w:ilvl w:val="0"/>
          <w:numId w:val="2"/>
        </w:numPr>
        <w:spacing w:after="60"/>
      </w:pPr>
      <w:r>
        <w:rPr>
          <w:rFonts w:ascii="Arial" w:cs="Arial" w:eastAsia="Arial" w:hAnsi="Arial"/>
          <w:color w:val="2D2D2D"/>
          <w:sz w:val="22"/>
          <w:szCs w:val="22"/>
        </w:rPr>
        <w:t xml:space="preserve">Non-Lethal Intervention: OC spray, TASER, physical takedown for non-lethal threats.</w:t>
      </w:r>
    </w:p>
    <w:p>
      <w:pPr>
        <w:pStyle w:val="ListParagraph"/>
        <w:numPr>
          <w:ilvl w:val="0"/>
          <w:numId w:val="2"/>
        </w:numPr>
        <w:spacing w:after="60"/>
      </w:pPr>
      <w:r>
        <w:rPr>
          <w:rFonts w:ascii="Arial" w:cs="Arial" w:eastAsia="Arial" w:hAnsi="Arial"/>
          <w:color w:val="2D2D2D"/>
          <w:sz w:val="22"/>
          <w:szCs w:val="22"/>
        </w:rPr>
        <w:t xml:space="preserve">Lethal Force: Authorized when agent has objectively reasonable belief that the principal faces imminent threat of death or serious bodily injury. In the US, the 'reasonable agent' standard applies under Garner/Graham doctrine.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B5" w:val="clear"/>
            <w:tcMar>
              <w:top w:type="dxa" w:w="120"/>
              <w:left w:type="dxa" w:w="180"/>
              <w:bottom w:type="dxa" w:w="120"/>
              <w:right w:type="dxa" w:w="180"/>
            </w:tcMar>
          </w:tcPr>
          <w:p>
            <w:pPr>
              <w:spacing w:after="60"/>
            </w:pPr>
            <w:r>
              <w:rPr>
                <w:rFonts w:ascii="Arial" w:cs="Arial" w:eastAsia="Arial" w:hAnsi="Arial"/>
                <w:b/>
                <w:bCs/>
                <w:color w:val="1A2C4E"/>
                <w:sz w:val="22"/>
                <w:szCs w:val="22"/>
              </w:rPr>
              <w:t xml:space="preserve">CRITICAL DOCTRINE — Protective Mission Priority</w:t>
            </w:r>
          </w:p>
          <w:p>
            <w:r>
              <w:rPr>
                <w:rFonts w:ascii="Arial" w:cs="Arial" w:eastAsia="Arial" w:hAnsi="Arial"/>
                <w:color w:val="2D2D2D"/>
                <w:sz w:val="20"/>
                <w:szCs w:val="20"/>
              </w:rPr>
              <w:t xml:space="preserve">Protective agents are NOT law enforcement officers during a protective movement. Their primary and overriding mission is to cover and evacuate the protectee. Agents should generally avoid protracted engagement with threats. The cover-and-evacuate doctrine takes absolute priority over pursuit, apprehension, or extended engagement.</w:t>
            </w:r>
          </w:p>
        </w:tc>
      </w:tr>
    </w:tbl>
    <w:p>
      <w:pPr>
        <w:spacing w:after="160"/>
      </w:pPr>
    </w:p>
    <w:p>
      <w:pPr>
        <w:pStyle w:val="Heading2"/>
        <w:spacing w:before="300" w:after="120"/>
      </w:pPr>
      <w:r>
        <w:rPr>
          <w:rFonts w:ascii="Arial" w:cs="Arial" w:eastAsia="Arial" w:hAnsi="Arial"/>
          <w:b/>
          <w:bCs/>
          <w:color w:val="2E5F8A"/>
          <w:sz w:val="28"/>
          <w:szCs w:val="28"/>
        </w:rPr>
        <w:t xml:space="preserve">10.3 Witness and Shooting Review</w:t>
      </w:r>
    </w:p>
    <w:p>
      <w:pPr>
        <w:spacing w:after="120"/>
      </w:pPr>
      <w:r>
        <w:rPr>
          <w:rFonts w:ascii="Arial" w:cs="Arial" w:eastAsia="Arial" w:hAnsi="Arial"/>
          <w:color w:val="2D2D2D"/>
          <w:sz w:val="22"/>
          <w:szCs w:val="22"/>
        </w:rPr>
        <w:t xml:space="preserve">All discharge of weapons by protective agents triggers a formal review process involving the agency's Inspector General, Office of Professional Responsibility, and in lethal cases, DOJ review (for USSS). Israeli agents are subject to Military Advocate General review. All agents must understand their reporting obligations and rights to legal representation prior to any review process.</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11: Psychological Resilience and Human Performance</w:t>
      </w:r>
    </w:p>
    <w:p>
      <w:pPr>
        <w:pStyle w:val="Heading2"/>
        <w:spacing w:before="300" w:after="120"/>
      </w:pPr>
      <w:r>
        <w:rPr>
          <w:rFonts w:ascii="Arial" w:cs="Arial" w:eastAsia="Arial" w:hAnsi="Arial"/>
          <w:b/>
          <w:bCs/>
          <w:color w:val="2E5F8A"/>
          <w:sz w:val="28"/>
          <w:szCs w:val="28"/>
        </w:rPr>
        <w:t xml:space="preserve">11.1 The Psychological Demands of Head-of-State Protection</w:t>
      </w:r>
    </w:p>
    <w:p>
      <w:pPr>
        <w:spacing w:after="120"/>
      </w:pPr>
      <w:r>
        <w:rPr>
          <w:rFonts w:ascii="Arial" w:cs="Arial" w:eastAsia="Arial" w:hAnsi="Arial"/>
          <w:color w:val="2D2D2D"/>
          <w:sz w:val="22"/>
          <w:szCs w:val="22"/>
        </w:rPr>
        <w:t xml:space="preserve">The psychological profile of an effective close protection agent is as important as physical capacity. The unique stressors of protective work include:</w:t>
      </w:r>
    </w:p>
    <w:p>
      <w:pPr>
        <w:pStyle w:val="ListParagraph"/>
        <w:numPr>
          <w:ilvl w:val="0"/>
          <w:numId w:val="2"/>
        </w:numPr>
        <w:spacing w:after="60"/>
      </w:pPr>
      <w:r>
        <w:rPr>
          <w:rFonts w:ascii="Arial" w:cs="Arial" w:eastAsia="Arial" w:hAnsi="Arial"/>
          <w:color w:val="2D2D2D"/>
          <w:sz w:val="22"/>
          <w:szCs w:val="22"/>
        </w:rPr>
        <w:t xml:space="preserve">Sustained hypervigilance: The physiological cost of maintaining genuine threat-scanning attention over extended periods is significant. Chronic hypervigilance degrades performance and contributes to burnout.</w:t>
      </w:r>
    </w:p>
    <w:p>
      <w:pPr>
        <w:pStyle w:val="ListParagraph"/>
        <w:numPr>
          <w:ilvl w:val="0"/>
          <w:numId w:val="2"/>
        </w:numPr>
        <w:spacing w:after="60"/>
      </w:pPr>
      <w:r>
        <w:rPr>
          <w:rFonts w:ascii="Arial" w:cs="Arial" w:eastAsia="Arial" w:hAnsi="Arial"/>
          <w:color w:val="2D2D2D"/>
          <w:sz w:val="22"/>
          <w:szCs w:val="22"/>
        </w:rPr>
        <w:t xml:space="preserve">Decision under uncertainty: The agent must be capable of making potentially lethal decisions with incomplete information and in fractional seconds, then live with those decisions.</w:t>
      </w:r>
    </w:p>
    <w:p>
      <w:pPr>
        <w:pStyle w:val="ListParagraph"/>
        <w:numPr>
          <w:ilvl w:val="0"/>
          <w:numId w:val="2"/>
        </w:numPr>
        <w:spacing w:after="60"/>
      </w:pPr>
      <w:r>
        <w:rPr>
          <w:rFonts w:ascii="Arial" w:cs="Arial" w:eastAsia="Arial" w:hAnsi="Arial"/>
          <w:color w:val="2D2D2D"/>
          <w:sz w:val="22"/>
          <w:szCs w:val="22"/>
        </w:rPr>
        <w:t xml:space="preserve">Identity subordination: Effective protection requires complete subordination of the agent's personal concerns, preferences, and needs to the protective mission. This is psychologically demanding over time.</w:t>
      </w:r>
    </w:p>
    <w:p>
      <w:pPr>
        <w:pStyle w:val="ListParagraph"/>
        <w:numPr>
          <w:ilvl w:val="0"/>
          <w:numId w:val="2"/>
        </w:numPr>
        <w:spacing w:after="60"/>
      </w:pPr>
      <w:r>
        <w:rPr>
          <w:rFonts w:ascii="Arial" w:cs="Arial" w:eastAsia="Arial" w:hAnsi="Arial"/>
          <w:color w:val="2D2D2D"/>
          <w:sz w:val="22"/>
          <w:szCs w:val="22"/>
        </w:rPr>
        <w:t xml:space="preserve">Vicarious trauma and secondary PTSD: Agents regularly exposed to threat information, violence scenarios, and occasionally actual violence or death face risk of secondary traumatic stress.</w:t>
      </w:r>
    </w:p>
    <w:p>
      <w:pPr>
        <w:pStyle w:val="ListParagraph"/>
        <w:numPr>
          <w:ilvl w:val="0"/>
          <w:numId w:val="2"/>
        </w:numPr>
        <w:spacing w:after="60"/>
      </w:pPr>
      <w:r>
        <w:rPr>
          <w:rFonts w:ascii="Arial" w:cs="Arial" w:eastAsia="Arial" w:hAnsi="Arial"/>
          <w:color w:val="2D2D2D"/>
          <w:sz w:val="22"/>
          <w:szCs w:val="22"/>
        </w:rPr>
        <w:t xml:space="preserve">Isolation and secrecy requirements: The classified nature of protective work prevents agents from processing experiences with family or external support networks.</w:t>
      </w:r>
    </w:p>
    <w:p>
      <w:pPr>
        <w:spacing w:after="160"/>
      </w:pPr>
    </w:p>
    <w:p>
      <w:pPr>
        <w:pStyle w:val="Heading2"/>
        <w:spacing w:before="300" w:after="120"/>
      </w:pPr>
      <w:r>
        <w:rPr>
          <w:rFonts w:ascii="Arial" w:cs="Arial" w:eastAsia="Arial" w:hAnsi="Arial"/>
          <w:b/>
          <w:bCs/>
          <w:color w:val="2E5F8A"/>
          <w:sz w:val="28"/>
          <w:szCs w:val="28"/>
        </w:rPr>
        <w:t xml:space="preserve">11.2 Psychological Fitness for Duty</w:t>
      </w:r>
    </w:p>
    <w:p>
      <w:pPr>
        <w:pStyle w:val="ListParagraph"/>
        <w:numPr>
          <w:ilvl w:val="0"/>
          <w:numId w:val="3"/>
        </w:numPr>
        <w:spacing w:after="80"/>
      </w:pPr>
      <w:r>
        <w:rPr>
          <w:rFonts w:ascii="Arial" w:cs="Arial" w:eastAsia="Arial" w:hAnsi="Arial"/>
          <w:color w:val="2D2D2D"/>
          <w:sz w:val="22"/>
          <w:szCs w:val="22"/>
        </w:rPr>
        <w:t xml:space="preserve">Annual psychological evaluation: Mandatory psychological fitness-for-duty evaluation by agency-cleared clinical psychologist. Confidential except for specific disqualifying conditions.</w:t>
      </w:r>
    </w:p>
    <w:p>
      <w:pPr>
        <w:pStyle w:val="ListParagraph"/>
        <w:numPr>
          <w:ilvl w:val="0"/>
          <w:numId w:val="3"/>
        </w:numPr>
        <w:spacing w:after="80"/>
      </w:pPr>
      <w:r>
        <w:rPr>
          <w:rFonts w:ascii="Arial" w:cs="Arial" w:eastAsia="Arial" w:hAnsi="Arial"/>
          <w:color w:val="2D2D2D"/>
          <w:sz w:val="22"/>
          <w:szCs w:val="22"/>
        </w:rPr>
        <w:t xml:space="preserve">Peer support program: Designated Peer Support Specialists within the detail, trained in psychological first aid and crisis intervention.</w:t>
      </w:r>
    </w:p>
    <w:p>
      <w:pPr>
        <w:pStyle w:val="ListParagraph"/>
        <w:numPr>
          <w:ilvl w:val="0"/>
          <w:numId w:val="3"/>
        </w:numPr>
        <w:spacing w:after="80"/>
      </w:pPr>
      <w:r>
        <w:rPr>
          <w:rFonts w:ascii="Arial" w:cs="Arial" w:eastAsia="Arial" w:hAnsi="Arial"/>
          <w:color w:val="2D2D2D"/>
          <w:sz w:val="22"/>
          <w:szCs w:val="22"/>
        </w:rPr>
        <w:t xml:space="preserve">Employee Assistance Program: 24/7 confidential counseling available. Help-seeking is actively normalized within agency culture — recognized as a strength, not a weakness.</w:t>
      </w:r>
    </w:p>
    <w:p>
      <w:pPr>
        <w:pStyle w:val="ListParagraph"/>
        <w:numPr>
          <w:ilvl w:val="0"/>
          <w:numId w:val="3"/>
        </w:numPr>
        <w:spacing w:after="80"/>
      </w:pPr>
      <w:r>
        <w:rPr>
          <w:rFonts w:ascii="Arial" w:cs="Arial" w:eastAsia="Arial" w:hAnsi="Arial"/>
          <w:color w:val="2D2D2D"/>
          <w:sz w:val="22"/>
          <w:szCs w:val="22"/>
        </w:rPr>
        <w:t xml:space="preserve">Post-incident psychological defusing: Mandatory group defusing within 24 hours of any significant incident (attack, near-miss, protectee medical emergency).</w:t>
      </w:r>
    </w:p>
    <w:p>
      <w:pPr>
        <w:pStyle w:val="ListParagraph"/>
        <w:numPr>
          <w:ilvl w:val="0"/>
          <w:numId w:val="3"/>
        </w:numPr>
        <w:spacing w:after="80"/>
      </w:pPr>
      <w:r>
        <w:rPr>
          <w:rFonts w:ascii="Arial" w:cs="Arial" w:eastAsia="Arial" w:hAnsi="Arial"/>
          <w:color w:val="2D2D2D"/>
          <w:sz w:val="22"/>
          <w:szCs w:val="22"/>
        </w:rPr>
        <w:t xml:space="preserve">Rotation and relief: Mandatory rotation schedules to prevent burnout. No agent remains on presidential detail continuously without significant leave periods.</w:t>
      </w:r>
    </w:p>
    <w:p>
      <w:pPr>
        <w:spacing w:after="160"/>
      </w:pPr>
    </w:p>
    <w:p>
      <w:pPr>
        <w:pStyle w:val="Heading2"/>
        <w:spacing w:before="300" w:after="120"/>
      </w:pPr>
      <w:r>
        <w:rPr>
          <w:rFonts w:ascii="Arial" w:cs="Arial" w:eastAsia="Arial" w:hAnsi="Arial"/>
          <w:b/>
          <w:bCs/>
          <w:color w:val="2E5F8A"/>
          <w:sz w:val="28"/>
          <w:szCs w:val="28"/>
        </w:rPr>
        <w:t xml:space="preserve">11.3 Decision-Making Under Extreme Stress</w:t>
      </w:r>
    </w:p>
    <w:p>
      <w:pPr>
        <w:spacing w:after="120"/>
      </w:pPr>
      <w:r>
        <w:rPr>
          <w:rFonts w:ascii="Arial" w:cs="Arial" w:eastAsia="Arial" w:hAnsi="Arial"/>
          <w:color w:val="2D2D2D"/>
          <w:sz w:val="22"/>
          <w:szCs w:val="22"/>
        </w:rPr>
        <w:t xml:space="preserve">Training to the automaticity level ensures that the correct protective response is available even when higher cognitive functions are severely degraded by fear, fatigue, or sensory overload. Techniques include:</w:t>
      </w:r>
    </w:p>
    <w:p>
      <w:pPr>
        <w:pStyle w:val="ListParagraph"/>
        <w:numPr>
          <w:ilvl w:val="0"/>
          <w:numId w:val="2"/>
        </w:numPr>
        <w:spacing w:after="60"/>
      </w:pPr>
      <w:r>
        <w:rPr>
          <w:rFonts w:ascii="Arial" w:cs="Arial" w:eastAsia="Arial" w:hAnsi="Arial"/>
          <w:color w:val="2D2D2D"/>
          <w:sz w:val="22"/>
          <w:szCs w:val="22"/>
        </w:rPr>
        <w:t xml:space="preserve">Deliberate practice of emergency drills until they require zero conscious decision-making — the body acts while the mind problem-solves.</w:t>
      </w:r>
    </w:p>
    <w:p>
      <w:pPr>
        <w:pStyle w:val="ListParagraph"/>
        <w:numPr>
          <w:ilvl w:val="0"/>
          <w:numId w:val="2"/>
        </w:numPr>
        <w:spacing w:after="60"/>
      </w:pPr>
      <w:r>
        <w:rPr>
          <w:rFonts w:ascii="Arial" w:cs="Arial" w:eastAsia="Arial" w:hAnsi="Arial"/>
          <w:color w:val="2D2D2D"/>
          <w:sz w:val="22"/>
          <w:szCs w:val="22"/>
        </w:rPr>
        <w:t xml:space="preserve">Mental rehearsal (visualization): Daily mental rehearsal of attack scenarios and correct responses is documented to improve actual performance under stress.</w:t>
      </w:r>
    </w:p>
    <w:p>
      <w:pPr>
        <w:pStyle w:val="ListParagraph"/>
        <w:numPr>
          <w:ilvl w:val="0"/>
          <w:numId w:val="2"/>
        </w:numPr>
        <w:spacing w:after="60"/>
      </w:pPr>
      <w:r>
        <w:rPr>
          <w:rFonts w:ascii="Arial" w:cs="Arial" w:eastAsia="Arial" w:hAnsi="Arial"/>
          <w:color w:val="2D2D2D"/>
          <w:sz w:val="22"/>
          <w:szCs w:val="22"/>
        </w:rPr>
        <w:t xml:space="preserve">Tactical breathing (Box Breathing): Four-count inhale, four-count hold, four-count exhale, four-count hold. Demonstrated to reduce cortisol response and restore pre-frontal cortex function during acute stress.</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Chapter 12: Cross-Agency Integration and International Operations</w:t>
      </w:r>
    </w:p>
    <w:p>
      <w:pPr>
        <w:pStyle w:val="Heading2"/>
        <w:spacing w:before="300" w:after="120"/>
      </w:pPr>
      <w:r>
        <w:rPr>
          <w:rFonts w:ascii="Arial" w:cs="Arial" w:eastAsia="Arial" w:hAnsi="Arial"/>
          <w:b/>
          <w:bCs/>
          <w:color w:val="2E5F8A"/>
          <w:sz w:val="28"/>
          <w:szCs w:val="28"/>
        </w:rPr>
        <w:t xml:space="preserve">12.1 Joint Protective Operations</w:t>
      </w:r>
    </w:p>
    <w:p>
      <w:pPr>
        <w:spacing w:after="120"/>
      </w:pPr>
      <w:r>
        <w:rPr>
          <w:rFonts w:ascii="Arial" w:cs="Arial" w:eastAsia="Arial" w:hAnsi="Arial"/>
          <w:color w:val="2D2D2D"/>
          <w:sz w:val="22"/>
          <w:szCs w:val="22"/>
        </w:rPr>
        <w:t xml:space="preserve">Heads of state frequently travel internationally, requiring coordination between the home nation's protective detail and host-nation security services. This creates complex command, communication, and operational challenges.</w:t>
      </w:r>
    </w:p>
    <w:p>
      <w:pPr>
        <w:spacing w:after="160"/>
      </w:pPr>
    </w:p>
    <w:p>
      <w:pPr>
        <w:pStyle w:val="Heading2"/>
        <w:spacing w:before="300" w:after="120"/>
      </w:pPr>
      <w:r>
        <w:rPr>
          <w:rFonts w:ascii="Arial" w:cs="Arial" w:eastAsia="Arial" w:hAnsi="Arial"/>
          <w:b/>
          <w:bCs/>
          <w:color w:val="2E5F8A"/>
          <w:sz w:val="28"/>
          <w:szCs w:val="28"/>
        </w:rPr>
        <w:t xml:space="preserve">12.2 USSS International Liaison</w:t>
      </w:r>
    </w:p>
    <w:p>
      <w:pPr>
        <w:spacing w:after="120"/>
      </w:pPr>
      <w:r>
        <w:rPr>
          <w:rFonts w:ascii="Arial" w:cs="Arial" w:eastAsia="Arial" w:hAnsi="Arial"/>
          <w:color w:val="2D2D2D"/>
          <w:sz w:val="22"/>
          <w:szCs w:val="22"/>
        </w:rPr>
        <w:t xml:space="preserve">The USSS maintains a network of international field offices and liaison relationships with protective services in over 150 countries. When the US President travels internationally:</w:t>
      </w:r>
    </w:p>
    <w:p>
      <w:pPr>
        <w:pStyle w:val="ListParagraph"/>
        <w:numPr>
          <w:ilvl w:val="0"/>
          <w:numId w:val="2"/>
        </w:numPr>
        <w:spacing w:after="60"/>
      </w:pPr>
      <w:r>
        <w:rPr>
          <w:rFonts w:ascii="Arial" w:cs="Arial" w:eastAsia="Arial" w:hAnsi="Arial"/>
          <w:color w:val="2D2D2D"/>
          <w:sz w:val="22"/>
          <w:szCs w:val="22"/>
        </w:rPr>
        <w:t xml:space="preserve">USSS advance team deploys 2–4 weeks ahead to conduct site surveys and establish liaison with host-nation security.</w:t>
      </w:r>
    </w:p>
    <w:p>
      <w:pPr>
        <w:pStyle w:val="ListParagraph"/>
        <w:numPr>
          <w:ilvl w:val="0"/>
          <w:numId w:val="2"/>
        </w:numPr>
        <w:spacing w:after="60"/>
      </w:pPr>
      <w:r>
        <w:rPr>
          <w:rFonts w:ascii="Arial" w:cs="Arial" w:eastAsia="Arial" w:hAnsi="Arial"/>
          <w:color w:val="2D2D2D"/>
          <w:sz w:val="22"/>
          <w:szCs w:val="22"/>
        </w:rPr>
        <w:t xml:space="preserve">Joint operations center established with host-nation police, intelligence, and military components.</w:t>
      </w:r>
    </w:p>
    <w:p>
      <w:pPr>
        <w:pStyle w:val="ListParagraph"/>
        <w:numPr>
          <w:ilvl w:val="0"/>
          <w:numId w:val="2"/>
        </w:numPr>
        <w:spacing w:after="60"/>
      </w:pPr>
      <w:r>
        <w:rPr>
          <w:rFonts w:ascii="Arial" w:cs="Arial" w:eastAsia="Arial" w:hAnsi="Arial"/>
          <w:color w:val="2D2D2D"/>
          <w:sz w:val="22"/>
          <w:szCs w:val="22"/>
        </w:rPr>
        <w:t xml:space="preserve">USSS agents retain primary responsibility for the inner protective ring; host-nation forces manage outer perimeters, traffic control, and crowd management.</w:t>
      </w:r>
    </w:p>
    <w:p>
      <w:pPr>
        <w:pStyle w:val="ListParagraph"/>
        <w:numPr>
          <w:ilvl w:val="0"/>
          <w:numId w:val="2"/>
        </w:numPr>
        <w:spacing w:after="60"/>
      </w:pPr>
      <w:r>
        <w:rPr>
          <w:rFonts w:ascii="Arial" w:cs="Arial" w:eastAsia="Arial" w:hAnsi="Arial"/>
          <w:color w:val="2D2D2D"/>
          <w:sz w:val="22"/>
          <w:szCs w:val="22"/>
        </w:rPr>
        <w:t xml:space="preserve">Memoranda of Understanding (MOUs) govern weapon carry authorization for USSS agents in host countries.</w:t>
      </w:r>
    </w:p>
    <w:p>
      <w:pPr>
        <w:spacing w:after="160"/>
      </w:pPr>
    </w:p>
    <w:p>
      <w:pPr>
        <w:pStyle w:val="Heading2"/>
        <w:spacing w:before="300" w:after="120"/>
      </w:pPr>
      <w:r>
        <w:rPr>
          <w:rFonts w:ascii="Arial" w:cs="Arial" w:eastAsia="Arial" w:hAnsi="Arial"/>
          <w:b/>
          <w:bCs/>
          <w:color w:val="2E5F8A"/>
          <w:sz w:val="28"/>
          <w:szCs w:val="28"/>
        </w:rPr>
        <w:t xml:space="preserve">12.3 Israeli Operational Philosophy</w:t>
      </w:r>
    </w:p>
    <w:p>
      <w:pPr>
        <w:spacing w:after="120"/>
      </w:pPr>
      <w:r>
        <w:rPr>
          <w:rFonts w:ascii="Arial" w:cs="Arial" w:eastAsia="Arial" w:hAnsi="Arial"/>
          <w:color w:val="2D2D2D"/>
          <w:sz w:val="22"/>
          <w:szCs w:val="22"/>
        </w:rPr>
        <w:t xml:space="preserve">Israeli protective doctrine operates from a posture of permanent threat assessment. Key distinguishing features:</w:t>
      </w:r>
    </w:p>
    <w:p>
      <w:pPr>
        <w:pStyle w:val="ListParagraph"/>
        <w:numPr>
          <w:ilvl w:val="0"/>
          <w:numId w:val="2"/>
        </w:numPr>
        <w:spacing w:after="60"/>
      </w:pPr>
      <w:r>
        <w:rPr>
          <w:rFonts w:ascii="Arial" w:cs="Arial" w:eastAsia="Arial" w:hAnsi="Arial"/>
          <w:color w:val="2D2D2D"/>
          <w:sz w:val="22"/>
          <w:szCs w:val="22"/>
        </w:rPr>
        <w:t xml:space="preserve">Intelligence-forward posture: Shin Bet preference is to neutralize threats before they approach the principal rather than defend against them at close range. Proactive intelligence drives everything.</w:t>
      </w:r>
    </w:p>
    <w:p>
      <w:pPr>
        <w:pStyle w:val="ListParagraph"/>
        <w:numPr>
          <w:ilvl w:val="0"/>
          <w:numId w:val="2"/>
        </w:numPr>
        <w:spacing w:after="60"/>
      </w:pPr>
      <w:r>
        <w:rPr>
          <w:rFonts w:ascii="Arial" w:cs="Arial" w:eastAsia="Arial" w:hAnsi="Arial"/>
          <w:color w:val="2D2D2D"/>
          <w:sz w:val="22"/>
          <w:szCs w:val="22"/>
        </w:rPr>
        <w:t xml:space="preserve">Aggressive response doctrine: Israeli protective agents are trained and authorized to respond to threats with immediate, overwhelming force. The decision threshold for lethal engagement is calibrated for the threat environment Israel faces.</w:t>
      </w:r>
    </w:p>
    <w:p>
      <w:pPr>
        <w:pStyle w:val="ListParagraph"/>
        <w:numPr>
          <w:ilvl w:val="0"/>
          <w:numId w:val="2"/>
        </w:numPr>
        <w:spacing w:after="60"/>
      </w:pPr>
      <w:r>
        <w:rPr>
          <w:rFonts w:ascii="Arial" w:cs="Arial" w:eastAsia="Arial" w:hAnsi="Arial"/>
          <w:color w:val="2D2D2D"/>
          <w:sz w:val="22"/>
          <w:szCs w:val="22"/>
        </w:rPr>
        <w:t xml:space="preserve">Integration with military assets: For international travel, IDF assets (including special forces units) may supplement the protective detail in high-threat environments. Air Force support for counter-UAS and MANPADS defense is routine.</w:t>
      </w:r>
    </w:p>
    <w:p>
      <w:pPr>
        <w:spacing w:after="160"/>
      </w:pPr>
    </w:p>
    <w:p>
      <w:pPr>
        <w:pStyle w:val="Heading2"/>
        <w:spacing w:before="300" w:after="120"/>
      </w:pPr>
      <w:r>
        <w:rPr>
          <w:rFonts w:ascii="Arial" w:cs="Arial" w:eastAsia="Arial" w:hAnsi="Arial"/>
          <w:b/>
          <w:bCs/>
          <w:color w:val="2E5F8A"/>
          <w:sz w:val="28"/>
          <w:szCs w:val="28"/>
        </w:rPr>
        <w:t xml:space="preserve">12.4 Chinese CSPF Distinctive Elements</w:t>
      </w:r>
    </w:p>
    <w:p>
      <w:pPr>
        <w:spacing w:after="120"/>
      </w:pPr>
      <w:r>
        <w:rPr>
          <w:rFonts w:ascii="Arial" w:cs="Arial" w:eastAsia="Arial" w:hAnsi="Arial"/>
          <w:color w:val="2D2D2D"/>
          <w:sz w:val="22"/>
          <w:szCs w:val="22"/>
        </w:rPr>
        <w:t xml:space="preserve">Chinese head-of-state protection reflects the unique operational environment and doctrinal preferences of the CSPF:</w:t>
      </w:r>
    </w:p>
    <w:p>
      <w:pPr>
        <w:pStyle w:val="ListParagraph"/>
        <w:numPr>
          <w:ilvl w:val="0"/>
          <w:numId w:val="2"/>
        </w:numPr>
        <w:spacing w:after="60"/>
      </w:pPr>
      <w:r>
        <w:rPr>
          <w:rFonts w:ascii="Arial" w:cs="Arial" w:eastAsia="Arial" w:hAnsi="Arial"/>
          <w:color w:val="2D2D2D"/>
          <w:sz w:val="22"/>
          <w:szCs w:val="22"/>
        </w:rPr>
        <w:t xml:space="preserve">Extreme information compartmentalization: Details of the principal's schedule, route, and security arrangements are known to the minimum possible number of people. Even senior government officials may not know exact movements.</w:t>
      </w:r>
    </w:p>
    <w:p>
      <w:pPr>
        <w:pStyle w:val="ListParagraph"/>
        <w:numPr>
          <w:ilvl w:val="0"/>
          <w:numId w:val="2"/>
        </w:numPr>
        <w:spacing w:after="60"/>
      </w:pPr>
      <w:r>
        <w:rPr>
          <w:rFonts w:ascii="Arial" w:cs="Arial" w:eastAsia="Arial" w:hAnsi="Arial"/>
          <w:color w:val="2D2D2D"/>
          <w:sz w:val="22"/>
          <w:szCs w:val="22"/>
        </w:rPr>
        <w:t xml:space="preserve">Domestic intelligence integration: State Security Ministry (MSS) and public security resources provide comprehensive domestic threat suppression. The protective environment is shaped well before the principal's movement, including preemptive social stability management.</w:t>
      </w:r>
    </w:p>
    <w:p>
      <w:pPr>
        <w:pStyle w:val="ListParagraph"/>
        <w:numPr>
          <w:ilvl w:val="0"/>
          <w:numId w:val="2"/>
        </w:numPr>
        <w:spacing w:after="60"/>
      </w:pPr>
      <w:r>
        <w:rPr>
          <w:rFonts w:ascii="Arial" w:cs="Arial" w:eastAsia="Arial" w:hAnsi="Arial"/>
          <w:color w:val="2D2D2D"/>
          <w:sz w:val="22"/>
          <w:szCs w:val="22"/>
        </w:rPr>
        <w:t xml:space="preserve">Technological investment: Significant investment in AI-powered facial recognition for crowd screening, integrated with the national surveillance infrastructure.</w:t>
      </w:r>
    </w:p>
    <w:p>
      <w:pPr>
        <w:pStyle w:val="ListParagraph"/>
        <w:numPr>
          <w:ilvl w:val="0"/>
          <w:numId w:val="2"/>
        </w:numPr>
        <w:spacing w:after="60"/>
      </w:pPr>
      <w:r>
        <w:rPr>
          <w:rFonts w:ascii="Arial" w:cs="Arial" w:eastAsia="Arial" w:hAnsi="Arial"/>
          <w:color w:val="2D2D2D"/>
          <w:sz w:val="22"/>
          <w:szCs w:val="22"/>
        </w:rPr>
        <w:t xml:space="preserve">Large protective footprint: Chinese protective details for the General Secretary tend to be significantly larger than Western equivalents, with multiple overlapping protective rings.</w:t>
      </w:r>
    </w:p>
    <w:p>
      <w:r>
        <w:br w:type="page"/>
      </w:r>
    </w:p>
    <w:p>
      <w:pPr>
        <w:pStyle w:val="Heading1"/>
        <w:pBdr>
          <w:bottom w:val="single" w:color="B8960C" w:sz="12" w:space="4"/>
        </w:pBdr>
        <w:spacing w:before="400" w:after="200"/>
      </w:pPr>
      <w:r>
        <w:rPr>
          <w:rFonts w:ascii="Arial" w:cs="Arial" w:eastAsia="Arial" w:hAnsi="Arial"/>
          <w:b/>
          <w:bCs/>
          <w:color w:val="1A2C4E"/>
          <w:sz w:val="36"/>
          <w:szCs w:val="36"/>
        </w:rPr>
        <w:t xml:space="preserve">Appendix A: Daily Operational Checklist</w:t>
      </w:r>
    </w:p>
    <w:p>
      <w:pPr>
        <w:spacing w:after="120"/>
      </w:pPr>
      <w:r>
        <w:rPr>
          <w:rFonts w:ascii="Arial" w:cs="Arial" w:eastAsia="Arial" w:hAnsi="Arial"/>
          <w:color w:val="2D2D2D"/>
          <w:sz w:val="22"/>
          <w:szCs w:val="22"/>
        </w:rPr>
        <w:t xml:space="preserve">This checklist is to be completed by the Shift Leader at the beginning of each protective shift:</w:t>
      </w:r>
    </w:p>
    <w:p>
      <w:pPr>
        <w:pStyle w:val="ListParagraph"/>
        <w:numPr>
          <w:ilvl w:val="0"/>
          <w:numId w:val="3"/>
        </w:numPr>
        <w:spacing w:after="80"/>
      </w:pPr>
      <w:r>
        <w:rPr>
          <w:rFonts w:ascii="Arial" w:cs="Arial" w:eastAsia="Arial" w:hAnsi="Arial"/>
          <w:color w:val="2D2D2D"/>
          <w:sz w:val="22"/>
          <w:szCs w:val="22"/>
        </w:rPr>
        <w:t xml:space="preserve">Review overnight threat intelligence report. Document any new or elevated threats.</w:t>
      </w:r>
    </w:p>
    <w:p>
      <w:pPr>
        <w:pStyle w:val="ListParagraph"/>
        <w:numPr>
          <w:ilvl w:val="0"/>
          <w:numId w:val="3"/>
        </w:numPr>
        <w:spacing w:after="80"/>
      </w:pPr>
      <w:r>
        <w:rPr>
          <w:rFonts w:ascii="Arial" w:cs="Arial" w:eastAsia="Arial" w:hAnsi="Arial"/>
          <w:color w:val="2D2D2D"/>
          <w:sz w:val="22"/>
          <w:szCs w:val="22"/>
        </w:rPr>
        <w:t xml:space="preserve">Confirm secure communications operational: primary radio net, secondary cellular, tertiary SATCOM.</w:t>
      </w:r>
    </w:p>
    <w:p>
      <w:pPr>
        <w:pStyle w:val="ListParagraph"/>
        <w:numPr>
          <w:ilvl w:val="0"/>
          <w:numId w:val="3"/>
        </w:numPr>
        <w:spacing w:after="80"/>
      </w:pPr>
      <w:r>
        <w:rPr>
          <w:rFonts w:ascii="Arial" w:cs="Arial" w:eastAsia="Arial" w:hAnsi="Arial"/>
          <w:color w:val="2D2D2D"/>
          <w:sz w:val="22"/>
          <w:szCs w:val="22"/>
        </w:rPr>
        <w:t xml:space="preserve">Vehicle inspection: fuel, armored integrity, run-flat condition, weapons lockers, medical kit, fire suppression.</w:t>
      </w:r>
    </w:p>
    <w:p>
      <w:pPr>
        <w:pStyle w:val="ListParagraph"/>
        <w:numPr>
          <w:ilvl w:val="0"/>
          <w:numId w:val="3"/>
        </w:numPr>
        <w:spacing w:after="80"/>
      </w:pPr>
      <w:r>
        <w:rPr>
          <w:rFonts w:ascii="Arial" w:cs="Arial" w:eastAsia="Arial" w:hAnsi="Arial"/>
          <w:color w:val="2D2D2D"/>
          <w:sz w:val="22"/>
          <w:szCs w:val="22"/>
        </w:rPr>
        <w:t xml:space="preserve">Confirm counter-sniper team positions for the day's schedule.</w:t>
      </w:r>
    </w:p>
    <w:p>
      <w:pPr>
        <w:pStyle w:val="ListParagraph"/>
        <w:numPr>
          <w:ilvl w:val="0"/>
          <w:numId w:val="3"/>
        </w:numPr>
        <w:spacing w:after="80"/>
      </w:pPr>
      <w:r>
        <w:rPr>
          <w:rFonts w:ascii="Arial" w:cs="Arial" w:eastAsia="Arial" w:hAnsi="Arial"/>
          <w:color w:val="2D2D2D"/>
          <w:sz w:val="22"/>
          <w:szCs w:val="22"/>
        </w:rPr>
        <w:t xml:space="preserve">Confirm advance team status for all locations. Any concerns or changes to security posture?</w:t>
      </w:r>
    </w:p>
    <w:p>
      <w:pPr>
        <w:pStyle w:val="ListParagraph"/>
        <w:numPr>
          <w:ilvl w:val="0"/>
          <w:numId w:val="3"/>
        </w:numPr>
        <w:spacing w:after="80"/>
      </w:pPr>
      <w:r>
        <w:rPr>
          <w:rFonts w:ascii="Arial" w:cs="Arial" w:eastAsia="Arial" w:hAnsi="Arial"/>
          <w:color w:val="2D2D2D"/>
          <w:sz w:val="22"/>
          <w:szCs w:val="22"/>
        </w:rPr>
        <w:t xml:space="preserve">Brief all shift members on threat environment, protectee schedule, and any special instructions.</w:t>
      </w:r>
    </w:p>
    <w:p>
      <w:pPr>
        <w:pStyle w:val="ListParagraph"/>
        <w:numPr>
          <w:ilvl w:val="0"/>
          <w:numId w:val="3"/>
        </w:numPr>
        <w:spacing w:after="80"/>
      </w:pPr>
      <w:r>
        <w:rPr>
          <w:rFonts w:ascii="Arial" w:cs="Arial" w:eastAsia="Arial" w:hAnsi="Arial"/>
          <w:color w:val="2D2D2D"/>
          <w:sz w:val="22"/>
          <w:szCs w:val="22"/>
        </w:rPr>
        <w:t xml:space="preserve">Weapons check: all agents confirm loaded, condition, and retention holster functional.</w:t>
      </w:r>
    </w:p>
    <w:p>
      <w:pPr>
        <w:pStyle w:val="ListParagraph"/>
        <w:numPr>
          <w:ilvl w:val="0"/>
          <w:numId w:val="3"/>
        </w:numPr>
        <w:spacing w:after="80"/>
      </w:pPr>
      <w:r>
        <w:rPr>
          <w:rFonts w:ascii="Arial" w:cs="Arial" w:eastAsia="Arial" w:hAnsi="Arial"/>
          <w:color w:val="2D2D2D"/>
          <w:sz w:val="22"/>
          <w:szCs w:val="22"/>
        </w:rPr>
        <w:t xml:space="preserve">Confirm hospital route and trauma center on standby notification.</w:t>
      </w:r>
    </w:p>
    <w:p>
      <w:pPr>
        <w:pStyle w:val="ListParagraph"/>
        <w:numPr>
          <w:ilvl w:val="0"/>
          <w:numId w:val="3"/>
        </w:numPr>
        <w:spacing w:after="80"/>
      </w:pPr>
      <w:r>
        <w:rPr>
          <w:rFonts w:ascii="Arial" w:cs="Arial" w:eastAsia="Arial" w:hAnsi="Arial"/>
          <w:color w:val="2D2D2D"/>
          <w:sz w:val="22"/>
          <w:szCs w:val="22"/>
        </w:rPr>
        <w:t xml:space="preserve">Confirm motorcade composition and driver briefings complete.</w:t>
      </w:r>
    </w:p>
    <w:p>
      <w:pPr>
        <w:pStyle w:val="ListParagraph"/>
        <w:numPr>
          <w:ilvl w:val="0"/>
          <w:numId w:val="3"/>
        </w:numPr>
        <w:spacing w:after="80"/>
      </w:pPr>
      <w:r>
        <w:rPr>
          <w:rFonts w:ascii="Arial" w:cs="Arial" w:eastAsia="Arial" w:hAnsi="Arial"/>
          <w:color w:val="2D2D2D"/>
          <w:sz w:val="22"/>
          <w:szCs w:val="22"/>
        </w:rPr>
        <w:t xml:space="preserve">Confirm principal medical status (relevant to emergency response) and medication needs.</w:t>
      </w:r>
    </w:p>
    <w:p>
      <w:pPr>
        <w:spacing w:after="160"/>
      </w:pPr>
    </w:p>
    <w:p>
      <w:pPr>
        <w:pStyle w:val="Heading1"/>
        <w:pBdr>
          <w:bottom w:val="single" w:color="B8960C" w:sz="12" w:space="4"/>
        </w:pBdr>
        <w:spacing w:before="400" w:after="200"/>
      </w:pPr>
      <w:r>
        <w:rPr>
          <w:rFonts w:ascii="Arial" w:cs="Arial" w:eastAsia="Arial" w:hAnsi="Arial"/>
          <w:b/>
          <w:bCs/>
          <w:color w:val="1A2C4E"/>
          <w:sz w:val="36"/>
          <w:szCs w:val="36"/>
        </w:rPr>
        <w:t xml:space="preserve">Appendix B: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Protectee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principal individual being protected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Body Agent / RSO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Agent in immediate physical proximity to the protectee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Counter Assault Team — heavily armed response element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Shift Leader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Supervising agent responsible for the entire protective shift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Lead Advance Agent — responsible for security of a specific site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Advance Command Post — central coordination point for an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TCCC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Tactical Combat Casualty Care — field trauma care standard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TSCM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Technical Surveillance Countermeasures — electronic bug-sweeping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SDR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Surveillance Detection Route — path designed to reveal hostile surveillance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TFR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Temporary Flight Restriction — restricted airspace around principal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IFAK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Individual First Aid Kit — personal trauma kit carried by each agent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MANPADS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Man-Portable Air Defense System — shoulder-fired anti-aircraft missile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CBRN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Chemical, Biological, Radiological, Nuclear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ROE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Rules of Engagement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MEDEVAC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Medical Evacuation</w:t>
            </w:r>
          </w:p>
        </w:tc>
      </w:tr>
    </w:tbl>
    <w:p>
      <w:pPr>
        <w:spacing w:after="160"/>
      </w:pPr>
    </w:p>
    <w:p>
      <w:pPr>
        <w:pStyle w:val="Heading1"/>
        <w:pBdr>
          <w:bottom w:val="single" w:color="B8960C" w:sz="12" w:space="4"/>
        </w:pBdr>
        <w:spacing w:before="400" w:after="200"/>
      </w:pPr>
      <w:r>
        <w:rPr>
          <w:rFonts w:ascii="Arial" w:cs="Arial" w:eastAsia="Arial" w:hAnsi="Arial"/>
          <w:b/>
          <w:bCs/>
          <w:color w:val="1A2C4E"/>
          <w:sz w:val="36"/>
          <w:szCs w:val="36"/>
        </w:rPr>
        <w:t xml:space="preserve">Appendix C: Recommended Training Programs and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Certification</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Issuing Body</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tcPr>
          <w:p>
            <w:r>
              <w:rPr>
                <w:rFonts w:ascii="Arial" w:cs="Arial" w:eastAsia="Arial" w:hAnsi="Arial"/>
                <w:b/>
                <w:bCs/>
                <w:color w:val="FFFFFF"/>
                <w:sz w:val="20"/>
                <w:szCs w:val="20"/>
              </w:rPr>
              <w:t xml:space="preserve">Relevance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Executive Protection Specialist (EPS)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ESI School of Professional Studies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weeks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Core protection training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Certified Protection Professional (CPP)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ASIS International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Exam-based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Industry standard credential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Tactical Combat Casualty Care (TCCC)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National Association of EMTs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16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Trauma care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Krav Maga Instructor (Level I–III)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IKMF / KMG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160+ hours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Combatives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Firearms Instructor (Law Enforcement)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ILEETA / NRA Law Enforcement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40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Weapons qualification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Emergency Medical Technician (EMT-B)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State-accredited program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120–150 hours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Medical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Advanced Driving / Vehicle Dynamics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Bill Scott Raceway / BSR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3–5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Motorcade driving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Intelligence Analysis (INT 101)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SANS / IACSP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Variable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Threat assessment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Counter-UAS Operations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DHS CUAS 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16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Drone threat response</w:t>
            </w:r>
          </w:p>
        </w:tc>
      </w:tr>
    </w:tbl>
    <w:p>
      <w:pPr>
        <w:spacing w:after="160"/>
      </w:pPr>
    </w:p>
    <w:p>
      <w:pPr>
        <w:pBdr>
          <w:top w:val="single" w:color="B8960C" w:sz="4" w:space="1"/>
        </w:pBdr>
        <w:spacing w:before="200" w:after="200"/>
      </w:pPr>
    </w:p>
    <w:p>
      <w:pPr>
        <w:spacing w:before="300" w:after="100"/>
        <w:jc w:val="center"/>
      </w:pPr>
      <w:r>
        <w:rPr>
          <w:rFonts w:ascii="Arial" w:cs="Arial" w:eastAsia="Arial" w:hAnsi="Arial"/>
          <w:b/>
          <w:bCs/>
          <w:color w:val="1A2C4E"/>
          <w:sz w:val="24"/>
          <w:szCs w:val="24"/>
        </w:rPr>
        <w:t xml:space="preserve">END OF DOCUMENT</w:t>
      </w:r>
    </w:p>
    <w:p>
      <w:pPr>
        <w:spacing w:after="60"/>
        <w:jc w:val="center"/>
      </w:pPr>
      <w:r>
        <w:rPr>
          <w:rFonts w:ascii="Arial" w:cs="Arial" w:eastAsia="Arial" w:hAnsi="Arial"/>
          <w:i/>
          <w:iCs/>
          <w:color w:val="2D2D2D"/>
          <w:sz w:val="20"/>
          <w:szCs w:val="20"/>
        </w:rPr>
        <w:t xml:space="preserve">Executive Protection Master Manual — Version 2025.1</w:t>
      </w:r>
    </w:p>
    <w:p>
      <w:pPr>
        <w:jc w:val="center"/>
      </w:pPr>
      <w:r>
        <w:rPr>
          <w:rFonts w:ascii="Arial" w:cs="Arial" w:eastAsia="Arial" w:hAnsi="Arial"/>
          <w:b/>
          <w:bCs/>
          <w:color w:val="8B0000"/>
          <w:sz w:val="20"/>
          <w:szCs w:val="20"/>
        </w:rPr>
        <w:t xml:space="preserve">CLASSIFIED – OFFICIAL USE ONLY – UNAUTHORIZED DISTRIBUTION PROHIBITED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4" w:space="2"/>
      </w:pBdr>
      <w:tabs>
        <w:tab w:val="center" w:pos="4680"/>
        <w:tab w:val="right" w:pos="9026"/>
      </w:tabs>
    </w:pPr>
    <w:r>
      <w:rPr>
        <w:rFonts w:ascii="Arial" w:cs="Arial" w:eastAsia="Arial" w:hAnsi="Arial"/>
        <w:color w:val="2D2D2D"/>
        <w:sz w:val="18"/>
        <w:szCs w:val="18"/>
      </w:rPr>
      <w:t xml:space="preserve">© Executive Protection Training Academy</w:t>
    </w:r>
    <w:r>
      <w:rPr>
        <w:rFonts w:ascii="Arial" w:cs="Arial" w:eastAsia="Arial" w:hAnsi="Arial"/>
        <w:sz w:val="18"/>
        <w:szCs w:val="18"/>
      </w:rPr>
      <w:t xml:space="preserve">	</w:t>
    </w:r>
    <w:r>
      <w:rPr>
        <w:rFonts w:ascii="Arial" w:cs="Arial" w:eastAsia="Arial" w:hAnsi="Arial"/>
        <w:color w:val="2D2D2D"/>
        <w:sz w:val="18"/>
        <w:szCs w:val="18"/>
      </w:rPr>
      <w:t xml:space="preserve">Page </w:t>
    </w:r>
    <w:r>
      <w:rPr>
        <w:rFonts w:ascii="Arial" w:cs="Arial" w:eastAsia="Arial" w:hAnsi="Arial"/>
        <w:sz w:val="18"/>
        <w:szCs w:val="18"/>
      </w:rPr>
      <type>page</type>
    </w:r>
    <w:r>
      <w:rPr>
        <w:rFonts w:ascii="Arial" w:cs="Arial" w:eastAsia="Arial" w:hAnsi="Arial"/>
        <w:color w:val="2D2D2D"/>
        <w:sz w:val="18"/>
        <w:szCs w:val="18"/>
      </w:rPr>
      <w:t xml:space="preserve">	Version 2025.1 – 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6" w:space="2"/>
      </w:pBdr>
      <w:tabs>
        <w:tab w:val="right" w:pos="9026"/>
      </w:tabs>
      <w:spacing w:after="80"/>
    </w:pPr>
    <w:r>
      <w:rPr>
        <w:rFonts w:ascii="Arial" w:cs="Arial" w:eastAsia="Arial" w:hAnsi="Arial"/>
        <w:b/>
        <w:bCs/>
        <w:color w:val="1A2C4E"/>
        <w:sz w:val="18"/>
        <w:szCs w:val="18"/>
      </w:rPr>
      <w:t xml:space="preserve">EXECUTIVE PROTECTION MASTER MANUAL</w:t>
    </w:r>
    <w:r>
      <w:rPr>
        <w:rFonts w:ascii="Arial" w:cs="Arial" w:eastAsia="Arial" w:hAnsi="Arial"/>
        <w:b/>
        <w:bCs/>
        <w:color w:val="8B0000"/>
        <w:sz w:val="18"/>
        <w:szCs w:val="18"/>
      </w:rPr>
      <w:t xml:space="preserve">	CLASSIFIED – OFFICIAL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C4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5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2026-03-13T06:06:30.751Z</dcterms:created>
  <dcterms:modified xsi:type="dcterms:W3CDTF">2026-03-13T06:06:30.752Z</dcterms:modified>
</cp:coreProperties>
</file>

<file path=docProps/custom.xml><?xml version="1.0" encoding="utf-8"?>
<Properties xmlns="http://schemas.openxmlformats.org/officeDocument/2006/custom-properties" xmlns:vt="http://schemas.openxmlformats.org/officeDocument/2006/docPropsVTypes"/>
</file>