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8"/>
        </w:rPr>
        <w:t>NW Inventory OS Analysis App V1</w:t>
      </w:r>
    </w:p>
    <w:p>
      <w:pPr>
        <w:jc w:val="center"/>
      </w:pPr>
      <w:r>
        <w:rPr>
          <w:color w:val="5B9BD5"/>
          <w:sz w:val="30"/>
        </w:rPr>
        <w:t>Workflow and Data Flow Documentation</w:t>
      </w:r>
    </w:p>
    <w:tbl>
      <w:tblPr>
        <w:tblStyle w:val="TableGrid"/>
        <w:tblW w:type="auto" w:w="0"/>
        <w:jc w:val="center"/>
        <w:tblLayout w:type="fixed"/>
        <w:tblLook w:firstColumn="1" w:firstRow="1" w:lastColumn="0" w:lastRow="0" w:noHBand="0" w:noVBand="1" w:val="04A0"/>
      </w:tblPr>
      <w:tblGrid>
        <w:gridCol w:w="2880"/>
        <w:gridCol w:w="6912"/>
      </w:tblGrid>
      <w:tr>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Document Type</w:t>
            </w:r>
          </w:p>
        </w:tc>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Technical workflow and data flow reference</w:t>
            </w:r>
          </w:p>
        </w:tc>
      </w:tr>
      <w:tr>
        <w:tc>
          <w:tcPr>
            <w:tcW w:type="dxa" w:w="5184"/>
            <w:vAlign w:val="center"/>
            <w:tcMar>
              <w:top w:w="120" w:type="dxa"/>
              <w:start w:w="120" w:type="dxa"/>
              <w:bottom w:w="120" w:type="dxa"/>
              <w:end w:w="120" w:type="dxa"/>
            </w:tcMar>
          </w:tcPr>
          <w:p>
            <w:pPr>
              <w:spacing w:after="40" w:before="40"/>
            </w:pPr>
            <w:r>
              <w:rPr>
                <w:rFonts w:ascii="Aptos" w:hAnsi="Aptos"/>
                <w:sz w:val="18"/>
              </w:rPr>
              <w:t>Application Version</w:t>
            </w:r>
          </w:p>
        </w:tc>
        <w:tc>
          <w:tcPr>
            <w:tcW w:type="dxa" w:w="5184"/>
            <w:vAlign w:val="center"/>
            <w:tcMar>
              <w:top w:w="120" w:type="dxa"/>
              <w:start w:w="120" w:type="dxa"/>
              <w:bottom w:w="120" w:type="dxa"/>
              <w:end w:w="120" w:type="dxa"/>
            </w:tcMar>
          </w:tcPr>
          <w:p>
            <w:pPr>
              <w:spacing w:after="40" w:before="40"/>
            </w:pPr>
            <w:r>
              <w:rPr>
                <w:rFonts w:ascii="Aptos" w:hAnsi="Aptos"/>
                <w:sz w:val="18"/>
              </w:rPr>
              <w:t>V1</w:t>
            </w:r>
          </w:p>
        </w:tc>
      </w:tr>
      <w:tr>
        <w:tc>
          <w:tcPr>
            <w:tcW w:type="dxa" w:w="5184"/>
            <w:vAlign w:val="center"/>
            <w:tcMar>
              <w:top w:w="120" w:type="dxa"/>
              <w:start w:w="120" w:type="dxa"/>
              <w:bottom w:w="120" w:type="dxa"/>
              <w:end w:w="120" w:type="dxa"/>
            </w:tcMar>
          </w:tcPr>
          <w:p>
            <w:pPr>
              <w:spacing w:after="40" w:before="40"/>
            </w:pPr>
            <w:r>
              <w:rPr>
                <w:rFonts w:ascii="Aptos" w:hAnsi="Aptos"/>
                <w:sz w:val="18"/>
              </w:rPr>
              <w:t>Primary Use Case</w:t>
            </w:r>
          </w:p>
        </w:tc>
        <w:tc>
          <w:tcPr>
            <w:tcW w:type="dxa" w:w="5184"/>
            <w:vAlign w:val="center"/>
            <w:tcMar>
              <w:top w:w="120" w:type="dxa"/>
              <w:start w:w="120" w:type="dxa"/>
              <w:bottom w:w="120" w:type="dxa"/>
              <w:end w:w="120" w:type="dxa"/>
            </w:tcMar>
          </w:tcPr>
          <w:p>
            <w:pPr>
              <w:spacing w:after="40" w:before="40"/>
            </w:pPr>
            <w:r>
              <w:rPr>
                <w:rFonts w:ascii="Aptos" w:hAnsi="Aptos"/>
                <w:sz w:val="18"/>
              </w:rPr>
              <w:t>NW CMDB firmware validation and Inventory OS reconciliation</w:t>
            </w:r>
          </w:p>
        </w:tc>
      </w:tr>
      <w:tr>
        <w:tc>
          <w:tcPr>
            <w:tcW w:type="dxa" w:w="5184"/>
            <w:vAlign w:val="center"/>
            <w:tcMar>
              <w:top w:w="120" w:type="dxa"/>
              <w:start w:w="120" w:type="dxa"/>
              <w:bottom w:w="120" w:type="dxa"/>
              <w:end w:w="120" w:type="dxa"/>
            </w:tcMar>
          </w:tcPr>
          <w:p>
            <w:pPr>
              <w:spacing w:after="40" w:before="40"/>
            </w:pPr>
            <w:r>
              <w:rPr>
                <w:rFonts w:ascii="Aptos" w:hAnsi="Aptos"/>
                <w:sz w:val="18"/>
              </w:rPr>
              <w:t>Output Option</w:t>
            </w:r>
          </w:p>
        </w:tc>
        <w:tc>
          <w:tcPr>
            <w:tcW w:type="dxa" w:w="5184"/>
            <w:vAlign w:val="center"/>
            <w:tcMar>
              <w:top w:w="120" w:type="dxa"/>
              <w:start w:w="120" w:type="dxa"/>
              <w:bottom w:w="120" w:type="dxa"/>
              <w:end w:w="120" w:type="dxa"/>
            </w:tcMar>
          </w:tcPr>
          <w:p>
            <w:pPr>
              <w:spacing w:after="40" w:before="40"/>
            </w:pPr>
            <w:r>
              <w:rPr>
                <w:rFonts w:ascii="Aptos" w:hAnsi="Aptos"/>
                <w:sz w:val="18"/>
              </w:rPr>
              <w:t>Single Excel workbook with multiple analysis sheets</w:t>
            </w:r>
          </w:p>
        </w:tc>
      </w:tr>
      <w:tr>
        <w:tc>
          <w:tcPr>
            <w:tcW w:type="dxa" w:w="5184"/>
            <w:vAlign w:val="center"/>
            <w:tcMar>
              <w:top w:w="120" w:type="dxa"/>
              <w:start w:w="120" w:type="dxa"/>
              <w:bottom w:w="120" w:type="dxa"/>
              <w:end w:w="120" w:type="dxa"/>
            </w:tcMar>
          </w:tcPr>
          <w:p>
            <w:pPr>
              <w:spacing w:after="40" w:before="40"/>
            </w:pPr>
            <w:r>
              <w:rPr>
                <w:rFonts w:ascii="Aptos" w:hAnsi="Aptos"/>
                <w:sz w:val="18"/>
              </w:rPr>
              <w:t>Prepared For</w:t>
            </w:r>
          </w:p>
        </w:tc>
        <w:tc>
          <w:tcPr>
            <w:tcW w:type="dxa" w:w="5184"/>
            <w:vAlign w:val="center"/>
            <w:tcMar>
              <w:top w:w="120" w:type="dxa"/>
              <w:start w:w="120" w:type="dxa"/>
              <w:bottom w:w="120" w:type="dxa"/>
              <w:end w:w="120" w:type="dxa"/>
            </w:tcMar>
          </w:tcPr>
          <w:p>
            <w:pPr>
              <w:spacing w:after="40" w:before="40"/>
            </w:pPr>
            <w:r>
              <w:rPr>
                <w:rFonts w:ascii="Aptos" w:hAnsi="Aptos"/>
                <w:sz w:val="18"/>
              </w:rPr>
              <w:t>Official documentation, SOP, and transition reference</w:t>
            </w:r>
          </w:p>
        </w:tc>
      </w:tr>
    </w:tbl>
    <w:p>
      <w:pPr>
        <w:spacing w:before="240"/>
      </w:pPr>
      <w:r>
        <w:rPr>
          <w:b/>
        </w:rPr>
        <w:t xml:space="preserve">Purpose. </w:t>
      </w:r>
      <w:r>
        <w:t>This document explains the operational workflow and data flow of the NW Inventory OS Analysis App V1. It is written for official documentation so that users, support teams, and future developers can understand file intake, validation, matching logic, processing sequence, and output generation.</w:t>
      </w:r>
    </w:p>
    <w:p>
      <w:r>
        <w:br w:type="page"/>
      </w:r>
    </w:p>
    <w:p>
      <w:pPr>
        <w:pStyle w:val="Heading1"/>
      </w:pPr>
      <w:r>
        <w:rPr>
          <w:rFonts w:ascii="Aptos Display" w:hAnsi="Aptos Display"/>
          <w:color w:val="1F4E79"/>
        </w:rPr>
        <w:t>1. Scope of V1</w:t>
      </w:r>
    </w:p>
    <w:p>
      <w:r>
        <w:t>V1 focuses on network operating system and firmware reconciliation between NW CMDB, Inventory OS, and Inventory OS Catalog data. Additional report upload slots are available in the GUI for future enhancements, but the V1 processing engine uses only the three required source files listed below.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File Slot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Required in V1</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Processing Usage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Inventory hostname, parent serial number, and OS lifecycle status.</w:t>
            </w:r>
          </w:p>
        </w:tc>
        <w:tc>
          <w:tcPr>
            <w:tcW w:type="dxa" w:w="2592"/>
            <w:vAlign w:val="center"/>
            <w:tcMar>
              <w:top w:w="120" w:type="dxa"/>
              <w:start w:w="120" w:type="dxa"/>
              <w:bottom w:w="120" w:type="dxa"/>
              <w:end w:w="120" w:type="dxa"/>
            </w:tcMar>
          </w:tcPr>
          <w:p>
            <w:pPr>
              <w:spacing w:after="40" w:before="40"/>
            </w:pPr>
            <w:r>
              <w:rPr>
                <w:rFonts w:ascii="Aptos" w:hAnsi="Aptos"/>
                <w:sz w:val="18"/>
              </w:rPr>
              <w:t>Used for hostname, serial number, and lifecycle checks.</w:t>
            </w:r>
          </w:p>
        </w:tc>
      </w:tr>
      <w:tr>
        <w:tc>
          <w:tcPr>
            <w:tcW w:type="dxa" w:w="2592"/>
            <w:vAlign w:val="center"/>
            <w:tcMar>
              <w:top w:w="120" w:type="dxa"/>
              <w:start w:w="120" w:type="dxa"/>
              <w:bottom w:w="120" w:type="dxa"/>
              <w:end w:w="120" w:type="dxa"/>
            </w:tcMar>
          </w:tcPr>
          <w:p>
            <w:pPr>
              <w:spacing w:after="40" w:before="40"/>
            </w:pPr>
            <w:r>
              <w:rPr>
                <w:rFonts w:ascii="Aptos" w:hAnsi="Aptos"/>
                <w:sz w:val="18"/>
              </w:rPr>
              <w:t>NW CMDB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Configuration Item, serial number, Firmware Version,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Primary reconciliation baseline and firmware source.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software_product_name and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Used to validate firmware catalog availability.</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HW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Baseline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baseline checks.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Network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network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Field Mapping File</w:t>
            </w:r>
          </w:p>
        </w:tc>
        <w:tc>
          <w:tcPr>
            <w:tcW w:type="dxa" w:w="2592"/>
            <w:vAlign w:val="center"/>
            <w:tcMar>
              <w:top w:w="120" w:type="dxa"/>
              <w:start w:w="120" w:type="dxa"/>
              <w:bottom w:w="120" w:type="dxa"/>
              <w:end w:w="120" w:type="dxa"/>
            </w:tcMar>
          </w:tcPr>
          <w:p>
            <w:pPr>
              <w:spacing w:after="40" w:before="40"/>
            </w:pPr>
            <w:r>
              <w:rPr>
                <w:rFonts w:ascii="Aptos" w:hAnsi="Aptos"/>
                <w:sz w:val="18"/>
              </w:rPr>
              <w:t>Optional</w:t>
            </w:r>
          </w:p>
        </w:tc>
        <w:tc>
          <w:tcPr>
            <w:tcW w:type="dxa" w:w="2592"/>
            <w:vAlign w:val="center"/>
            <w:tcMar>
              <w:top w:w="120" w:type="dxa"/>
              <w:start w:w="120" w:type="dxa"/>
              <w:bottom w:w="120" w:type="dxa"/>
              <w:end w:w="120" w:type="dxa"/>
            </w:tcMar>
          </w:tcPr>
          <w:p>
            <w:pPr>
              <w:spacing w:after="40" w:before="40"/>
            </w:pPr>
            <w:r>
              <w:rPr>
                <w:rFonts w:ascii="Aptos" w:hAnsi="Aptos"/>
                <w:sz w:val="18"/>
              </w:rPr>
              <w:t>Provides field mapping reference for documentation or future transformation logic.</w:t>
            </w:r>
          </w:p>
        </w:tc>
        <w:tc>
          <w:tcPr>
            <w:tcW w:type="dxa" w:w="2592"/>
            <w:vAlign w:val="center"/>
            <w:tcMar>
              <w:top w:w="120" w:type="dxa"/>
              <w:start w:w="120" w:type="dxa"/>
              <w:bottom w:w="120" w:type="dxa"/>
              <w:end w:w="120" w:type="dxa"/>
            </w:tcMar>
          </w:tcPr>
          <w:p>
            <w:pPr>
              <w:spacing w:after="40" w:before="40"/>
            </w:pPr>
            <w:r>
              <w:rPr>
                <w:rFonts w:ascii="Aptos" w:hAnsi="Aptos"/>
                <w:sz w:val="18"/>
              </w:rPr>
              <w:t>Included as a reference sheet if loaded.</w:t>
            </w:r>
          </w:p>
        </w:tc>
      </w:tr>
    </w:tbl>
    <w:p>
      <w:pPr>
        <w:pStyle w:val="Heading1"/>
      </w:pPr>
      <w:r>
        <w:rPr>
          <w:rFonts w:ascii="Aptos Display" w:hAnsi="Aptos Display"/>
          <w:color w:val="1F4E79"/>
        </w:rPr>
        <w:t>2. Workflow Diagram</w:t>
      </w:r>
    </w:p>
    <w:p>
      <w:r>
        <w:t>The workflow diagram below shows the end-to-end user and processing sequence from opening the GUI through output workbook generation. It also shows the internal processing gates for required file validation, row metadata handling, flexible header resolution, firmware validation, Inventory OS matching, lifecycle comparison, and Excel workbook creation.</w:t>
      </w:r>
    </w:p>
    <w:p>
      <w:r>
        <w:drawing>
          <wp:inline xmlns:a="http://schemas.openxmlformats.org/drawingml/2006/main" xmlns:pic="http://schemas.openxmlformats.org/drawingml/2006/picture">
            <wp:extent cx="6400800" cy="4132951"/>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1. Workflow Diagram for NW Inventory OS Analysis App V1</w:t>
      </w:r>
    </w:p>
    <w:p>
      <w:pPr>
        <w:pStyle w:val="Heading1"/>
      </w:pPr>
      <w:r>
        <w:rPr>
          <w:rFonts w:ascii="Aptos Display" w:hAnsi="Aptos Display"/>
          <w:color w:val="1F4E79"/>
        </w:rPr>
        <w:t>3. Workflow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Step</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Stage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Description</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Expected Result</w:t>
            </w:r>
          </w:p>
        </w:tc>
      </w:tr>
      <w:tr>
        <w:tc>
          <w:tcPr>
            <w:tcW w:type="dxa" w:w="2592"/>
            <w:vAlign w:val="center"/>
            <w:tcMar>
              <w:top w:w="120" w:type="dxa"/>
              <w:start w:w="120" w:type="dxa"/>
              <w:bottom w:w="120" w:type="dxa"/>
              <w:end w:w="120" w:type="dxa"/>
            </w:tcMar>
          </w:tcPr>
          <w:p>
            <w:pPr>
              <w:spacing w:after="40" w:before="40"/>
            </w:pPr>
            <w:r>
              <w:rPr>
                <w:rFonts w:ascii="Aptos" w:hAnsi="Aptos"/>
                <w:sz w:val="18"/>
              </w:rPr>
              <w:t>1</w:t>
            </w:r>
          </w:p>
        </w:tc>
        <w:tc>
          <w:tcPr>
            <w:tcW w:type="dxa" w:w="2592"/>
            <w:vAlign w:val="center"/>
            <w:tcMar>
              <w:top w:w="120" w:type="dxa"/>
              <w:start w:w="120" w:type="dxa"/>
              <w:bottom w:w="120" w:type="dxa"/>
              <w:end w:w="120" w:type="dxa"/>
            </w:tcMar>
          </w:tcPr>
          <w:p>
            <w:pPr>
              <w:spacing w:after="40" w:before="40"/>
            </w:pPr>
            <w:r>
              <w:rPr>
                <w:rFonts w:ascii="Aptos" w:hAnsi="Aptos"/>
                <w:sz w:val="18"/>
              </w:rPr>
              <w:t>Launch GUI</w:t>
            </w:r>
          </w:p>
        </w:tc>
        <w:tc>
          <w:tcPr>
            <w:tcW w:type="dxa" w:w="2592"/>
            <w:vAlign w:val="center"/>
            <w:tcMar>
              <w:top w:w="120" w:type="dxa"/>
              <w:start w:w="120" w:type="dxa"/>
              <w:bottom w:w="120" w:type="dxa"/>
              <w:end w:w="120" w:type="dxa"/>
            </w:tcMar>
          </w:tcPr>
          <w:p>
            <w:pPr>
              <w:spacing w:after="40" w:before="40"/>
            </w:pPr>
            <w:r>
              <w:rPr>
                <w:rFonts w:ascii="Aptos" w:hAnsi="Aptos"/>
                <w:sz w:val="18"/>
              </w:rPr>
              <w:t>User opens the Tkinter-based application from VS Code or a Python runtime.</w:t>
            </w:r>
          </w:p>
        </w:tc>
        <w:tc>
          <w:tcPr>
            <w:tcW w:type="dxa" w:w="2592"/>
            <w:vAlign w:val="center"/>
            <w:tcMar>
              <w:top w:w="120" w:type="dxa"/>
              <w:start w:w="120" w:type="dxa"/>
              <w:bottom w:w="120" w:type="dxa"/>
              <w:end w:w="120" w:type="dxa"/>
            </w:tcMar>
          </w:tcPr>
          <w:p>
            <w:pPr>
              <w:spacing w:after="40" w:before="40"/>
            </w:pPr>
            <w:r>
              <w:rPr>
                <w:rFonts w:ascii="Aptos" w:hAnsi="Aptos"/>
                <w:sz w:val="18"/>
              </w:rPr>
              <w:t>Main application window is displayed.</w:t>
            </w:r>
          </w:p>
        </w:tc>
      </w:tr>
      <w:tr>
        <w:tc>
          <w:tcPr>
            <w:tcW w:type="dxa" w:w="2592"/>
            <w:vAlign w:val="center"/>
            <w:tcMar>
              <w:top w:w="120" w:type="dxa"/>
              <w:start w:w="120" w:type="dxa"/>
              <w:bottom w:w="120" w:type="dxa"/>
              <w:end w:w="120" w:type="dxa"/>
            </w:tcMar>
          </w:tcPr>
          <w:p>
            <w:pPr>
              <w:spacing w:after="40" w:before="40"/>
            </w:pPr>
            <w:r>
              <w:rPr>
                <w:rFonts w:ascii="Aptos" w:hAnsi="Aptos"/>
                <w:sz w:val="18"/>
              </w:rPr>
              <w:t>2</w:t>
            </w:r>
          </w:p>
        </w:tc>
        <w:tc>
          <w:tcPr>
            <w:tcW w:type="dxa" w:w="2592"/>
            <w:vAlign w:val="center"/>
            <w:tcMar>
              <w:top w:w="120" w:type="dxa"/>
              <w:start w:w="120" w:type="dxa"/>
              <w:bottom w:w="120" w:type="dxa"/>
              <w:end w:w="120" w:type="dxa"/>
            </w:tcMar>
          </w:tcPr>
          <w:p>
            <w:pPr>
              <w:spacing w:after="40" w:before="40"/>
            </w:pPr>
            <w:r>
              <w:rPr>
                <w:rFonts w:ascii="Aptos" w:hAnsi="Aptos"/>
                <w:sz w:val="18"/>
              </w:rPr>
              <w:t>Load files</w:t>
            </w:r>
          </w:p>
        </w:tc>
        <w:tc>
          <w:tcPr>
            <w:tcW w:type="dxa" w:w="2592"/>
            <w:vAlign w:val="center"/>
            <w:tcMar>
              <w:top w:w="120" w:type="dxa"/>
              <w:start w:w="120" w:type="dxa"/>
              <w:bottom w:w="120" w:type="dxa"/>
              <w:end w:w="120" w:type="dxa"/>
            </w:tcMar>
          </w:tcPr>
          <w:p>
            <w:pPr>
              <w:spacing w:after="40" w:before="40"/>
            </w:pPr>
            <w:r>
              <w:rPr>
                <w:rFonts w:ascii="Aptos" w:hAnsi="Aptos"/>
                <w:sz w:val="18"/>
              </w:rPr>
              <w:t>User loads files through fixed file picker slots. The GUI shows loaded or not loaded status for each file.</w:t>
            </w:r>
          </w:p>
        </w:tc>
        <w:tc>
          <w:tcPr>
            <w:tcW w:type="dxa" w:w="2592"/>
            <w:vAlign w:val="center"/>
            <w:tcMar>
              <w:top w:w="120" w:type="dxa"/>
              <w:start w:w="120" w:type="dxa"/>
              <w:bottom w:w="120" w:type="dxa"/>
              <w:end w:w="120" w:type="dxa"/>
            </w:tcMar>
          </w:tcPr>
          <w:p>
            <w:pPr>
              <w:spacing w:after="40" w:before="40"/>
            </w:pPr>
            <w:r>
              <w:rPr>
                <w:rFonts w:ascii="Aptos" w:hAnsi="Aptos"/>
                <w:sz w:val="18"/>
              </w:rPr>
              <w:t>Selected file paths are stored in memory.</w:t>
            </w:r>
          </w:p>
        </w:tc>
      </w:tr>
      <w:tr>
        <w:tc>
          <w:tcPr>
            <w:tcW w:type="dxa" w:w="2592"/>
            <w:vAlign w:val="center"/>
            <w:tcMar>
              <w:top w:w="120" w:type="dxa"/>
              <w:start w:w="120" w:type="dxa"/>
              <w:bottom w:w="120" w:type="dxa"/>
              <w:end w:w="120" w:type="dxa"/>
            </w:tcMar>
          </w:tcPr>
          <w:p>
            <w:pPr>
              <w:spacing w:after="40" w:before="40"/>
            </w:pPr>
            <w:r>
              <w:rPr>
                <w:rFonts w:ascii="Aptos" w:hAnsi="Aptos"/>
                <w:sz w:val="18"/>
              </w:rPr>
              <w:t>3</w:t>
            </w:r>
          </w:p>
        </w:tc>
        <w:tc>
          <w:tcPr>
            <w:tcW w:type="dxa" w:w="2592"/>
            <w:vAlign w:val="center"/>
            <w:tcMar>
              <w:top w:w="120" w:type="dxa"/>
              <w:start w:w="120" w:type="dxa"/>
              <w:bottom w:w="120" w:type="dxa"/>
              <w:end w:w="120" w:type="dxa"/>
            </w:tcMar>
          </w:tcPr>
          <w:p>
            <w:pPr>
              <w:spacing w:after="40" w:before="40"/>
            </w:pPr>
            <w:r>
              <w:rPr>
                <w:rFonts w:ascii="Aptos" w:hAnsi="Aptos"/>
                <w:sz w:val="18"/>
              </w:rPr>
              <w:t>Select V1 analysis</w:t>
            </w:r>
          </w:p>
        </w:tc>
        <w:tc>
          <w:tcPr>
            <w:tcW w:type="dxa" w:w="2592"/>
            <w:vAlign w:val="center"/>
            <w:tcMar>
              <w:top w:w="120" w:type="dxa"/>
              <w:start w:w="120" w:type="dxa"/>
              <w:bottom w:w="120" w:type="dxa"/>
              <w:end w:w="120" w:type="dxa"/>
            </w:tcMar>
          </w:tcPr>
          <w:p>
            <w:pPr>
              <w:spacing w:after="40" w:before="40"/>
            </w:pPr>
            <w:r>
              <w:rPr>
                <w:rFonts w:ascii="Aptos" w:hAnsi="Aptos"/>
                <w:sz w:val="18"/>
              </w:rPr>
              <w:t>The V1 analysis option is listed in the GUI and selected for execution.</w:t>
            </w:r>
          </w:p>
        </w:tc>
        <w:tc>
          <w:tcPr>
            <w:tcW w:type="dxa" w:w="2592"/>
            <w:vAlign w:val="center"/>
            <w:tcMar>
              <w:top w:w="120" w:type="dxa"/>
              <w:start w:w="120" w:type="dxa"/>
              <w:bottom w:w="120" w:type="dxa"/>
              <w:end w:w="120" w:type="dxa"/>
            </w:tcMar>
          </w:tcPr>
          <w:p>
            <w:pPr>
              <w:spacing w:after="40" w:before="40"/>
            </w:pPr>
            <w:r>
              <w:rPr>
                <w:rFonts w:ascii="Aptos" w:hAnsi="Aptos"/>
                <w:sz w:val="18"/>
              </w:rPr>
              <w:t>Processing scope is confirmed as V1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4</w:t>
            </w:r>
          </w:p>
        </w:tc>
        <w:tc>
          <w:tcPr>
            <w:tcW w:type="dxa" w:w="2592"/>
            <w:vAlign w:val="center"/>
            <w:tcMar>
              <w:top w:w="120" w:type="dxa"/>
              <w:start w:w="120" w:type="dxa"/>
              <w:bottom w:w="120" w:type="dxa"/>
              <w:end w:w="120" w:type="dxa"/>
            </w:tcMar>
          </w:tcPr>
          <w:p>
            <w:pPr>
              <w:spacing w:after="40" w:before="40"/>
            </w:pPr>
            <w:r>
              <w:rPr>
                <w:rFonts w:ascii="Aptos" w:hAnsi="Aptos"/>
                <w:sz w:val="18"/>
              </w:rPr>
              <w:t>Validate required files</w:t>
            </w:r>
          </w:p>
        </w:tc>
        <w:tc>
          <w:tcPr>
            <w:tcW w:type="dxa" w:w="2592"/>
            <w:vAlign w:val="center"/>
            <w:tcMar>
              <w:top w:w="120" w:type="dxa"/>
              <w:start w:w="120" w:type="dxa"/>
              <w:bottom w:w="120" w:type="dxa"/>
              <w:end w:w="120" w:type="dxa"/>
            </w:tcMar>
          </w:tcPr>
          <w:p>
            <w:pPr>
              <w:spacing w:after="40" w:before="40"/>
            </w:pPr>
            <w:r>
              <w:rPr>
                <w:rFonts w:ascii="Aptos" w:hAnsi="Aptos"/>
                <w:sz w:val="18"/>
              </w:rPr>
              <w:t>The app checks that Inventory Operating System, NW CMDB Report, and Inventory OS Catalog Report are loaded.</w:t>
            </w:r>
          </w:p>
        </w:tc>
        <w:tc>
          <w:tcPr>
            <w:tcW w:type="dxa" w:w="2592"/>
            <w:vAlign w:val="center"/>
            <w:tcMar>
              <w:top w:w="120" w:type="dxa"/>
              <w:start w:w="120" w:type="dxa"/>
              <w:bottom w:w="120" w:type="dxa"/>
              <w:end w:w="120" w:type="dxa"/>
            </w:tcMar>
          </w:tcPr>
          <w:p>
            <w:pPr>
              <w:spacing w:after="40" w:before="40"/>
            </w:pPr>
            <w:r>
              <w:rPr>
                <w:rFonts w:ascii="Aptos" w:hAnsi="Aptos"/>
                <w:sz w:val="18"/>
              </w:rPr>
              <w:t>Processing continues only when required files are present.</w:t>
            </w:r>
          </w:p>
        </w:tc>
      </w:tr>
      <w:tr>
        <w:tc>
          <w:tcPr>
            <w:tcW w:type="dxa" w:w="2592"/>
            <w:vAlign w:val="center"/>
            <w:tcMar>
              <w:top w:w="120" w:type="dxa"/>
              <w:start w:w="120" w:type="dxa"/>
              <w:bottom w:w="120" w:type="dxa"/>
              <w:end w:w="120" w:type="dxa"/>
            </w:tcMar>
          </w:tcPr>
          <w:p>
            <w:pPr>
              <w:spacing w:after="40" w:before="40"/>
            </w:pPr>
            <w:r>
              <w:rPr>
                <w:rFonts w:ascii="Aptos" w:hAnsi="Aptos"/>
                <w:sz w:val="18"/>
              </w:rPr>
              <w:t>5</w:t>
            </w:r>
          </w:p>
        </w:tc>
        <w:tc>
          <w:tcPr>
            <w:tcW w:type="dxa" w:w="2592"/>
            <w:vAlign w:val="center"/>
            <w:tcMar>
              <w:top w:w="120" w:type="dxa"/>
              <w:start w:w="120" w:type="dxa"/>
              <w:bottom w:w="120" w:type="dxa"/>
              <w:end w:w="120" w:type="dxa"/>
            </w:tcMar>
          </w:tcPr>
          <w:p>
            <w:pPr>
              <w:spacing w:after="40" w:before="40"/>
            </w:pPr>
            <w:r>
              <w:rPr>
                <w:rFonts w:ascii="Aptos" w:hAnsi="Aptos"/>
                <w:sz w:val="18"/>
              </w:rPr>
              <w:t>Read and normalize data</w:t>
            </w:r>
          </w:p>
        </w:tc>
        <w:tc>
          <w:tcPr>
            <w:tcW w:type="dxa" w:w="2592"/>
            <w:vAlign w:val="center"/>
            <w:tcMar>
              <w:top w:w="120" w:type="dxa"/>
              <w:start w:w="120" w:type="dxa"/>
              <w:bottom w:w="120" w:type="dxa"/>
              <w:end w:w="120" w:type="dxa"/>
            </w:tcMar>
          </w:tcPr>
          <w:p>
            <w:pPr>
              <w:spacing w:after="40" w:before="40"/>
            </w:pPr>
            <w:r>
              <w:rPr>
                <w:rFonts w:ascii="Aptos" w:hAnsi="Aptos"/>
                <w:sz w:val="18"/>
              </w:rPr>
              <w:t>The app reads .xlsx, .csv, or .xlsb files and standardizes text values.</w:t>
            </w:r>
          </w:p>
        </w:tc>
        <w:tc>
          <w:tcPr>
            <w:tcW w:type="dxa" w:w="2592"/>
            <w:vAlign w:val="center"/>
            <w:tcMar>
              <w:top w:w="120" w:type="dxa"/>
              <w:start w:w="120" w:type="dxa"/>
              <w:bottom w:w="120" w:type="dxa"/>
              <w:end w:w="120" w:type="dxa"/>
            </w:tcMar>
          </w:tcPr>
          <w:p>
            <w:pPr>
              <w:spacing w:after="40" w:before="40"/>
            </w:pPr>
            <w:r>
              <w:rPr>
                <w:rFonts w:ascii="Aptos" w:hAnsi="Aptos"/>
                <w:sz w:val="18"/>
              </w:rPr>
              <w:t>Input data frames are prepared for analysis.</w:t>
            </w:r>
          </w:p>
        </w:tc>
      </w:tr>
      <w:tr>
        <w:tc>
          <w:tcPr>
            <w:tcW w:type="dxa" w:w="2592"/>
            <w:vAlign w:val="center"/>
            <w:tcMar>
              <w:top w:w="120" w:type="dxa"/>
              <w:start w:w="120" w:type="dxa"/>
              <w:bottom w:w="120" w:type="dxa"/>
              <w:end w:w="120" w:type="dxa"/>
            </w:tcMar>
          </w:tcPr>
          <w:p>
            <w:pPr>
              <w:spacing w:after="40" w:before="40"/>
            </w:pPr>
            <w:r>
              <w:rPr>
                <w:rFonts w:ascii="Aptos" w:hAnsi="Aptos"/>
                <w:sz w:val="18"/>
              </w:rPr>
              <w:t>6</w:t>
            </w:r>
          </w:p>
        </w:tc>
        <w:tc>
          <w:tcPr>
            <w:tcW w:type="dxa" w:w="2592"/>
            <w:vAlign w:val="center"/>
            <w:tcMar>
              <w:top w:w="120" w:type="dxa"/>
              <w:start w:w="120" w:type="dxa"/>
              <w:bottom w:w="120" w:type="dxa"/>
              <w:end w:w="120" w:type="dxa"/>
            </w:tcMar>
          </w:tcPr>
          <w:p>
            <w:pPr>
              <w:spacing w:after="40" w:before="40"/>
            </w:pPr>
            <w:r>
              <w:rPr>
                <w:rFonts w:ascii="Aptos" w:hAnsi="Aptos"/>
                <w:sz w:val="18"/>
              </w:rPr>
              <w:t>Ignore metadata row</w:t>
            </w:r>
          </w:p>
        </w:tc>
        <w:tc>
          <w:tcPr>
            <w:tcW w:type="dxa" w:w="2592"/>
            <w:vAlign w:val="center"/>
            <w:tcMar>
              <w:top w:w="120" w:type="dxa"/>
              <w:start w:w="120" w:type="dxa"/>
              <w:bottom w:w="120" w:type="dxa"/>
              <w:end w:w="120" w:type="dxa"/>
            </w:tcMar>
          </w:tcPr>
          <w:p>
            <w:pPr>
              <w:spacing w:after="40" w:before="40"/>
            </w:pPr>
            <w:r>
              <w:rPr>
                <w:rFonts w:ascii="Aptos" w:hAnsi="Aptos"/>
                <w:sz w:val="18"/>
              </w:rPr>
              <w:t>If Row 2 contains values such as Mandatory, Optional, Required, or Recommended, the row is excluded from calculations.</w:t>
            </w:r>
          </w:p>
        </w:tc>
        <w:tc>
          <w:tcPr>
            <w:tcW w:type="dxa" w:w="2592"/>
            <w:vAlign w:val="center"/>
            <w:tcMar>
              <w:top w:w="120" w:type="dxa"/>
              <w:start w:w="120" w:type="dxa"/>
              <w:bottom w:w="120" w:type="dxa"/>
              <w:end w:w="120" w:type="dxa"/>
            </w:tcMar>
          </w:tcPr>
          <w:p>
            <w:pPr>
              <w:spacing w:after="40" w:before="40"/>
            </w:pPr>
            <w:r>
              <w:rPr>
                <w:rFonts w:ascii="Aptos" w:hAnsi="Aptos"/>
                <w:sz w:val="18"/>
              </w:rPr>
              <w:t>Only actual data rows are analyzed.</w:t>
            </w:r>
          </w:p>
        </w:tc>
      </w:tr>
      <w:tr>
        <w:tc>
          <w:tcPr>
            <w:tcW w:type="dxa" w:w="2592"/>
            <w:vAlign w:val="center"/>
            <w:tcMar>
              <w:top w:w="120" w:type="dxa"/>
              <w:start w:w="120" w:type="dxa"/>
              <w:bottom w:w="120" w:type="dxa"/>
              <w:end w:w="120" w:type="dxa"/>
            </w:tcMar>
          </w:tcPr>
          <w:p>
            <w:pPr>
              <w:spacing w:after="40" w:before="40"/>
            </w:pPr>
            <w:r>
              <w:rPr>
                <w:rFonts w:ascii="Aptos" w:hAnsi="Aptos"/>
                <w:sz w:val="18"/>
              </w:rPr>
              <w:t>7</w:t>
            </w:r>
          </w:p>
        </w:tc>
        <w:tc>
          <w:tcPr>
            <w:tcW w:type="dxa" w:w="2592"/>
            <w:vAlign w:val="center"/>
            <w:tcMar>
              <w:top w:w="120" w:type="dxa"/>
              <w:start w:w="120" w:type="dxa"/>
              <w:bottom w:w="120" w:type="dxa"/>
              <w:end w:w="120" w:type="dxa"/>
            </w:tcMar>
          </w:tcPr>
          <w:p>
            <w:pPr>
              <w:spacing w:after="40" w:before="40"/>
            </w:pPr>
            <w:r>
              <w:rPr>
                <w:rFonts w:ascii="Aptos" w:hAnsi="Aptos"/>
                <w:sz w:val="18"/>
              </w:rPr>
              <w:t>Resolve headers</w:t>
            </w:r>
          </w:p>
        </w:tc>
        <w:tc>
          <w:tcPr>
            <w:tcW w:type="dxa" w:w="2592"/>
            <w:vAlign w:val="center"/>
            <w:tcMar>
              <w:top w:w="120" w:type="dxa"/>
              <w:start w:w="120" w:type="dxa"/>
              <w:bottom w:w="120" w:type="dxa"/>
              <w:end w:w="120" w:type="dxa"/>
            </w:tcMar>
          </w:tcPr>
          <w:p>
            <w:pPr>
              <w:spacing w:after="40" w:before="40"/>
            </w:pPr>
            <w:r>
              <w:rPr>
                <w:rFonts w:ascii="Aptos" w:hAnsi="Aptos"/>
                <w:sz w:val="18"/>
              </w:rPr>
              <w:t>Header matching ignores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Required logical fields are mapped to physical file columns.</w:t>
            </w:r>
          </w:p>
        </w:tc>
      </w:tr>
      <w:tr>
        <w:tc>
          <w:tcPr>
            <w:tcW w:type="dxa" w:w="2592"/>
            <w:vAlign w:val="center"/>
            <w:tcMar>
              <w:top w:w="120" w:type="dxa"/>
              <w:start w:w="120" w:type="dxa"/>
              <w:bottom w:w="120" w:type="dxa"/>
              <w:end w:w="120" w:type="dxa"/>
            </w:tcMar>
          </w:tcPr>
          <w:p>
            <w:pPr>
              <w:spacing w:after="40" w:before="40"/>
            </w:pPr>
            <w:r>
              <w:rPr>
                <w:rFonts w:ascii="Aptos" w:hAnsi="Aptos"/>
                <w:sz w:val="18"/>
              </w:rPr>
              <w:t>8</w:t>
            </w:r>
          </w:p>
        </w:tc>
        <w:tc>
          <w:tcPr>
            <w:tcW w:type="dxa" w:w="2592"/>
            <w:vAlign w:val="center"/>
            <w:tcMar>
              <w:top w:w="120" w:type="dxa"/>
              <w:start w:w="120" w:type="dxa"/>
              <w:bottom w:w="120" w:type="dxa"/>
              <w:end w:w="120" w:type="dxa"/>
            </w:tcMar>
          </w:tcPr>
          <w:p>
            <w:pPr>
              <w:spacing w:after="40" w:before="40"/>
            </w:pPr>
            <w:r>
              <w:rPr>
                <w:rFonts w:ascii="Aptos" w:hAnsi="Aptos"/>
                <w:sz w:val="18"/>
              </w:rPr>
              <w:t>Run processing logic</w:t>
            </w:r>
          </w:p>
        </w:tc>
        <w:tc>
          <w:tcPr>
            <w:tcW w:type="dxa" w:w="2592"/>
            <w:vAlign w:val="center"/>
            <w:tcMar>
              <w:top w:w="120" w:type="dxa"/>
              <w:start w:w="120" w:type="dxa"/>
              <w:bottom w:w="120" w:type="dxa"/>
              <w:end w:w="120" w:type="dxa"/>
            </w:tcMar>
          </w:tcPr>
          <w:p>
            <w:pPr>
              <w:spacing w:after="40" w:before="40"/>
            </w:pPr>
            <w:r>
              <w:rPr>
                <w:rFonts w:ascii="Aptos" w:hAnsi="Aptos"/>
                <w:sz w:val="18"/>
              </w:rPr>
              <w:t>Firmware split, catalog validation, hostname match, serial match, and lifecycle checks are completed.</w:t>
            </w:r>
          </w:p>
        </w:tc>
        <w:tc>
          <w:tcPr>
            <w:tcW w:type="dxa" w:w="2592"/>
            <w:vAlign w:val="center"/>
            <w:tcMar>
              <w:top w:w="120" w:type="dxa"/>
              <w:start w:w="120" w:type="dxa"/>
              <w:bottom w:w="120" w:type="dxa"/>
              <w:end w:w="120" w:type="dxa"/>
            </w:tcMar>
          </w:tcPr>
          <w:p>
            <w:pPr>
              <w:spacing w:after="40" w:before="40"/>
            </w:pPr>
            <w:r>
              <w:rPr>
                <w:rFonts w:ascii="Aptos" w:hAnsi="Aptos"/>
                <w:sz w:val="18"/>
              </w:rPr>
              <w:t>Analysis columns and status values are calculated.</w:t>
            </w:r>
          </w:p>
        </w:tc>
      </w:tr>
      <w:tr>
        <w:tc>
          <w:tcPr>
            <w:tcW w:type="dxa" w:w="2592"/>
            <w:vAlign w:val="center"/>
            <w:tcMar>
              <w:top w:w="120" w:type="dxa"/>
              <w:start w:w="120" w:type="dxa"/>
              <w:bottom w:w="120" w:type="dxa"/>
              <w:end w:w="120" w:type="dxa"/>
            </w:tcMar>
          </w:tcPr>
          <w:p>
            <w:pPr>
              <w:spacing w:after="40" w:before="40"/>
            </w:pPr>
            <w:r>
              <w:rPr>
                <w:rFonts w:ascii="Aptos" w:hAnsi="Aptos"/>
                <w:sz w:val="18"/>
              </w:rPr>
              <w:t>9</w:t>
            </w:r>
          </w:p>
        </w:tc>
        <w:tc>
          <w:tcPr>
            <w:tcW w:type="dxa" w:w="2592"/>
            <w:vAlign w:val="center"/>
            <w:tcMar>
              <w:top w:w="120" w:type="dxa"/>
              <w:start w:w="120" w:type="dxa"/>
              <w:bottom w:w="120" w:type="dxa"/>
              <w:end w:w="120" w:type="dxa"/>
            </w:tcMar>
          </w:tcPr>
          <w:p>
            <w:pPr>
              <w:spacing w:after="40" w:before="40"/>
            </w:pPr>
            <w:r>
              <w:rPr>
                <w:rFonts w:ascii="Aptos" w:hAnsi="Aptos"/>
                <w:sz w:val="18"/>
              </w:rPr>
              <w:t>Write output workbook</w:t>
            </w:r>
          </w:p>
        </w:tc>
        <w:tc>
          <w:tcPr>
            <w:tcW w:type="dxa" w:w="2592"/>
            <w:vAlign w:val="center"/>
            <w:tcMar>
              <w:top w:w="120" w:type="dxa"/>
              <w:start w:w="120" w:type="dxa"/>
              <w:bottom w:w="120" w:type="dxa"/>
              <w:end w:w="120" w:type="dxa"/>
            </w:tcMar>
          </w:tcPr>
          <w:p>
            <w:pPr>
              <w:spacing w:after="40" w:before="40"/>
            </w:pPr>
            <w:r>
              <w:rPr>
                <w:rFonts w:ascii="Aptos" w:hAnsi="Aptos"/>
                <w:sz w:val="18"/>
              </w:rPr>
              <w:t>The app creates one Excel workbook with multiple sheets and formatted status columns.</w:t>
            </w:r>
          </w:p>
        </w:tc>
        <w:tc>
          <w:tcPr>
            <w:tcW w:type="dxa" w:w="2592"/>
            <w:vAlign w:val="center"/>
            <w:tcMar>
              <w:top w:w="120" w:type="dxa"/>
              <w:start w:w="120" w:type="dxa"/>
              <w:bottom w:w="120" w:type="dxa"/>
              <w:end w:w="120" w:type="dxa"/>
            </w:tcMar>
          </w:tcPr>
          <w:p>
            <w:pPr>
              <w:spacing w:after="40" w:before="40"/>
            </w:pPr>
            <w:r>
              <w:rPr>
                <w:rFonts w:ascii="Aptos" w:hAnsi="Aptos"/>
                <w:sz w:val="18"/>
              </w:rPr>
              <w:t>Final workbook is saved to the user-selected folder.</w:t>
            </w:r>
          </w:p>
        </w:tc>
      </w:tr>
    </w:tbl>
    <w:p>
      <w:r>
        <w:br w:type="page"/>
      </w:r>
    </w:p>
    <w:p>
      <w:pPr>
        <w:pStyle w:val="Heading1"/>
      </w:pPr>
      <w:r>
        <w:rPr>
          <w:rFonts w:ascii="Aptos Display" w:hAnsi="Aptos Display"/>
          <w:color w:val="1F4E79"/>
        </w:rPr>
        <w:t>4. Data Flow Diagram</w:t>
      </w:r>
    </w:p>
    <w:p>
      <w:r>
        <w:t>The data flow diagram below shows how input reports pass through ingestion, normalization, matching, validation, and workbook generation. V1 uses three required reports for active processing. Other reports are accepted by the GUI to support a consistent future-ready interface.</w:t>
      </w:r>
    </w:p>
    <w:p>
      <w:r>
        <w:drawing>
          <wp:inline xmlns:a="http://schemas.openxmlformats.org/drawingml/2006/main" xmlns:pic="http://schemas.openxmlformats.org/drawingml/2006/picture">
            <wp:extent cx="6400800" cy="4132951"/>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2. Data Flow Diagram for Input Reports and Output Workbook</w:t>
      </w:r>
    </w:p>
    <w:p>
      <w:pPr>
        <w:pStyle w:val="Heading1"/>
      </w:pPr>
      <w:r>
        <w:rPr>
          <w:rFonts w:ascii="Aptos Display" w:hAnsi="Aptos Display"/>
          <w:color w:val="1F4E79"/>
        </w:rPr>
        <w:t>5. Data 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Layer</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Objects</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Transformation / Processing</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Contribution</w:t>
            </w:r>
          </w:p>
        </w:tc>
      </w:tr>
      <w:tr>
        <w:tc>
          <w:tcPr>
            <w:tcW w:type="dxa" w:w="2592"/>
            <w:vAlign w:val="center"/>
            <w:tcMar>
              <w:top w:w="120" w:type="dxa"/>
              <w:start w:w="120" w:type="dxa"/>
              <w:bottom w:w="120" w:type="dxa"/>
              <w:end w:w="120" w:type="dxa"/>
            </w:tcMar>
          </w:tcPr>
          <w:p>
            <w:pPr>
              <w:spacing w:after="40" w:before="40"/>
            </w:pPr>
            <w:r>
              <w:rPr>
                <w:rFonts w:ascii="Aptos" w:hAnsi="Aptos"/>
                <w:sz w:val="18"/>
              </w:rPr>
              <w:t>Input Layer</w:t>
            </w:r>
          </w:p>
        </w:tc>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 NW CMDB Report, 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Files are read into internal tabular structures. Row 2 metadata is excluded where applicable.</w:t>
            </w:r>
          </w:p>
        </w:tc>
        <w:tc>
          <w:tcPr>
            <w:tcW w:type="dxa" w:w="2592"/>
            <w:vAlign w:val="center"/>
            <w:tcMar>
              <w:top w:w="120" w:type="dxa"/>
              <w:start w:w="120" w:type="dxa"/>
              <w:bottom w:w="120" w:type="dxa"/>
              <w:end w:w="120" w:type="dxa"/>
            </w:tcMar>
          </w:tcPr>
          <w:p>
            <w:pPr>
              <w:spacing w:after="40" w:before="40"/>
            </w:pPr>
            <w:r>
              <w:rPr>
                <w:rFonts w:ascii="Aptos" w:hAnsi="Aptos"/>
                <w:sz w:val="18"/>
              </w:rPr>
              <w:t>Provides baseline records for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Header Resolution Layer</w:t>
            </w:r>
          </w:p>
        </w:tc>
        <w:tc>
          <w:tcPr>
            <w:tcW w:type="dxa" w:w="2592"/>
            <w:vAlign w:val="center"/>
            <w:tcMar>
              <w:top w:w="120" w:type="dxa"/>
              <w:start w:w="120" w:type="dxa"/>
              <w:bottom w:w="120" w:type="dxa"/>
              <w:end w:w="120" w:type="dxa"/>
            </w:tcMar>
          </w:tcPr>
          <w:p>
            <w:pPr>
              <w:spacing w:after="40" w:before="40"/>
            </w:pPr>
            <w:r>
              <w:rPr>
                <w:rFonts w:ascii="Aptos" w:hAnsi="Aptos"/>
                <w:sz w:val="18"/>
              </w:rPr>
              <w:t>All input columns</w:t>
            </w:r>
          </w:p>
        </w:tc>
        <w:tc>
          <w:tcPr>
            <w:tcW w:type="dxa" w:w="2592"/>
            <w:vAlign w:val="center"/>
            <w:tcMar>
              <w:top w:w="120" w:type="dxa"/>
              <w:start w:w="120" w:type="dxa"/>
              <w:bottom w:w="120" w:type="dxa"/>
              <w:end w:w="120" w:type="dxa"/>
            </w:tcMar>
          </w:tcPr>
          <w:p>
            <w:pPr>
              <w:spacing w:after="40" w:before="40"/>
            </w:pPr>
            <w:r>
              <w:rPr>
                <w:rFonts w:ascii="Aptos" w:hAnsi="Aptos"/>
                <w:sz w:val="18"/>
              </w:rPr>
              <w:t>Column names are matched using normalized forms that ignore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Reduces dependency on exact header spelling variations.</w:t>
            </w:r>
          </w:p>
        </w:tc>
      </w:tr>
      <w:tr>
        <w:tc>
          <w:tcPr>
            <w:tcW w:type="dxa" w:w="2592"/>
            <w:vAlign w:val="center"/>
            <w:tcMar>
              <w:top w:w="120" w:type="dxa"/>
              <w:start w:w="120" w:type="dxa"/>
              <w:bottom w:w="120" w:type="dxa"/>
              <w:end w:w="120" w:type="dxa"/>
            </w:tcMar>
          </w:tcPr>
          <w:p>
            <w:pPr>
              <w:spacing w:after="40" w:before="40"/>
            </w:pPr>
            <w:r>
              <w:rPr>
                <w:rFonts w:ascii="Aptos" w:hAnsi="Aptos"/>
                <w:sz w:val="18"/>
              </w:rPr>
              <w:t>Firmware Processing Layer</w:t>
            </w:r>
          </w:p>
        </w:tc>
        <w:tc>
          <w:tcPr>
            <w:tcW w:type="dxa" w:w="2592"/>
            <w:vAlign w:val="center"/>
            <w:tcMar>
              <w:top w:w="120" w:type="dxa"/>
              <w:start w:w="120" w:type="dxa"/>
              <w:bottom w:w="120" w:type="dxa"/>
              <w:end w:w="120" w:type="dxa"/>
            </w:tcMar>
          </w:tcPr>
          <w:p>
            <w:pPr>
              <w:spacing w:after="40" w:before="40"/>
            </w:pPr>
            <w:r>
              <w:rPr>
                <w:rFonts w:ascii="Aptos" w:hAnsi="Aptos"/>
                <w:sz w:val="18"/>
              </w:rPr>
              <w:t>NW CMDB Firmware Version</w:t>
            </w:r>
          </w:p>
        </w:tc>
        <w:tc>
          <w:tcPr>
            <w:tcW w:type="dxa" w:w="2592"/>
            <w:vAlign w:val="center"/>
            <w:tcMar>
              <w:top w:w="120" w:type="dxa"/>
              <w:start w:w="120" w:type="dxa"/>
              <w:bottom w:w="120" w:type="dxa"/>
              <w:end w:w="120" w:type="dxa"/>
            </w:tcMar>
          </w:tcPr>
          <w:p>
            <w:pPr>
              <w:spacing w:after="40" w:before="40"/>
            </w:pPr>
            <w:r>
              <w:rPr>
                <w:rFonts w:ascii="Aptos" w:hAnsi="Aptos"/>
                <w:sz w:val="18"/>
              </w:rPr>
              <w:t>Firmware source value is split into Firmware Name and Firmware Version using the last version-like token.</w:t>
            </w:r>
          </w:p>
        </w:tc>
        <w:tc>
          <w:tcPr>
            <w:tcW w:type="dxa" w:w="2592"/>
            <w:vAlign w:val="center"/>
            <w:tcMar>
              <w:top w:w="120" w:type="dxa"/>
              <w:start w:w="120" w:type="dxa"/>
              <w:bottom w:w="120" w:type="dxa"/>
              <w:end w:w="120" w:type="dxa"/>
            </w:tcMar>
          </w:tcPr>
          <w:p>
            <w:pPr>
              <w:spacing w:after="40" w:before="40"/>
            </w:pPr>
            <w:r>
              <w:rPr>
                <w:rFonts w:ascii="Aptos" w:hAnsi="Aptos"/>
                <w:sz w:val="18"/>
              </w:rPr>
              <w:t>Feeds catalog validation and firmware split sheet.</w:t>
            </w:r>
          </w:p>
        </w:tc>
      </w:tr>
      <w:tr>
        <w:tc>
          <w:tcPr>
            <w:tcW w:type="dxa" w:w="2592"/>
            <w:vAlign w:val="center"/>
            <w:tcMar>
              <w:top w:w="120" w:type="dxa"/>
              <w:start w:w="120" w:type="dxa"/>
              <w:bottom w:w="120" w:type="dxa"/>
              <w:end w:w="120" w:type="dxa"/>
            </w:tcMar>
          </w:tcPr>
          <w:p>
            <w:pPr>
              <w:spacing w:after="40" w:before="40"/>
            </w:pPr>
            <w:r>
              <w:rPr>
                <w:rFonts w:ascii="Aptos" w:hAnsi="Aptos"/>
                <w:sz w:val="18"/>
              </w:rPr>
              <w:t>Catalog Validation Layer</w:t>
            </w:r>
          </w:p>
        </w:tc>
        <w:tc>
          <w:tcPr>
            <w:tcW w:type="dxa" w:w="2592"/>
            <w:vAlign w:val="center"/>
            <w:tcMar>
              <w:top w:w="120" w:type="dxa"/>
              <w:start w:w="120" w:type="dxa"/>
              <w:bottom w:w="120" w:type="dxa"/>
              <w:end w:w="120" w:type="dxa"/>
            </w:tcMar>
          </w:tcPr>
          <w:p>
            <w:pPr>
              <w:spacing w:after="40" w:before="40"/>
            </w:pPr>
            <w:r>
              <w:rPr>
                <w:rFonts w:ascii="Aptos" w:hAnsi="Aptos"/>
                <w:sz w:val="18"/>
              </w:rPr>
              <w:t>Firmware Name, Firmware Version, software_product_name,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Exact match and closest match rules are applied. Closest match allows trailing alphabetic suffix removal only.</w:t>
            </w:r>
          </w:p>
        </w:tc>
        <w:tc>
          <w:tcPr>
            <w:tcW w:type="dxa" w:w="2592"/>
            <w:vAlign w:val="center"/>
            <w:tcMar>
              <w:top w:w="120" w:type="dxa"/>
              <w:start w:w="120" w:type="dxa"/>
              <w:bottom w:w="120" w:type="dxa"/>
              <w:end w:w="120" w:type="dxa"/>
            </w:tcMar>
          </w:tcPr>
          <w:p>
            <w:pPr>
              <w:spacing w:after="40" w:before="40"/>
            </w:pPr>
            <w:r>
              <w:rPr>
                <w:rFonts w:ascii="Aptos" w:hAnsi="Aptos"/>
                <w:sz w:val="18"/>
              </w:rPr>
              <w:t>Produces Match, Closest Match Proposed, or catalog update required.</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Matching Layer</w:t>
            </w:r>
          </w:p>
        </w:tc>
        <w:tc>
          <w:tcPr>
            <w:tcW w:type="dxa" w:w="2592"/>
            <w:vAlign w:val="center"/>
            <w:tcMar>
              <w:top w:w="120" w:type="dxa"/>
              <w:start w:w="120" w:type="dxa"/>
              <w:bottom w:w="120" w:type="dxa"/>
              <w:end w:w="120" w:type="dxa"/>
            </w:tcMar>
          </w:tcPr>
          <w:p>
            <w:pPr>
              <w:spacing w:after="40" w:before="40"/>
            </w:pPr>
            <w:r>
              <w:rPr>
                <w:rFonts w:ascii="Aptos" w:hAnsi="Aptos"/>
                <w:sz w:val="18"/>
              </w:rPr>
              <w:t>Configuration Item, Hostname, serial number, os_parent_serial_number</w:t>
            </w:r>
          </w:p>
        </w:tc>
        <w:tc>
          <w:tcPr>
            <w:tcW w:type="dxa" w:w="2592"/>
            <w:vAlign w:val="center"/>
            <w:tcMar>
              <w:top w:w="120" w:type="dxa"/>
              <w:start w:w="120" w:type="dxa"/>
              <w:bottom w:w="120" w:type="dxa"/>
              <w:end w:w="120" w:type="dxa"/>
            </w:tcMar>
          </w:tcPr>
          <w:p>
            <w:pPr>
              <w:spacing w:after="40" w:before="40"/>
            </w:pPr>
            <w:r>
              <w:rPr>
                <w:rFonts w:ascii="Aptos" w:hAnsi="Aptos"/>
                <w:sz w:val="18"/>
              </w:rPr>
              <w:t>Direct hostname, CMDB slash replacement, and case-agnostic serial matching are performed.</w:t>
            </w:r>
          </w:p>
        </w:tc>
        <w:tc>
          <w:tcPr>
            <w:tcW w:type="dxa" w:w="2592"/>
            <w:vAlign w:val="center"/>
            <w:tcMar>
              <w:top w:w="120" w:type="dxa"/>
              <w:start w:w="120" w:type="dxa"/>
              <w:bottom w:w="120" w:type="dxa"/>
              <w:end w:w="120" w:type="dxa"/>
            </w:tcMar>
          </w:tcPr>
          <w:p>
            <w:pPr>
              <w:spacing w:after="40" w:before="40"/>
            </w:pPr>
            <w:r>
              <w:rPr>
                <w:rFonts w:ascii="Aptos" w:hAnsi="Aptos"/>
                <w:sz w:val="18"/>
              </w:rPr>
              <w:t>Produces presence status and hostname changed indicators.</w:t>
            </w:r>
          </w:p>
        </w:tc>
      </w:tr>
      <w:tr>
        <w:tc>
          <w:tcPr>
            <w:tcW w:type="dxa" w:w="2592"/>
            <w:vAlign w:val="center"/>
            <w:tcMar>
              <w:top w:w="120" w:type="dxa"/>
              <w:start w:w="120" w:type="dxa"/>
              <w:bottom w:w="120" w:type="dxa"/>
              <w:end w:w="120" w:type="dxa"/>
            </w:tcMar>
          </w:tcPr>
          <w:p>
            <w:pPr>
              <w:spacing w:after="40" w:before="40"/>
            </w:pPr>
            <w:r>
              <w:rPr>
                <w:rFonts w:ascii="Aptos" w:hAnsi="Aptos"/>
                <w:sz w:val="18"/>
              </w:rPr>
              <w:t>Lifecycle Layer</w:t>
            </w:r>
          </w:p>
        </w:tc>
        <w:tc>
          <w:tcPr>
            <w:tcW w:type="dxa" w:w="2592"/>
            <w:vAlign w:val="center"/>
            <w:tcMar>
              <w:top w:w="120" w:type="dxa"/>
              <w:start w:w="120" w:type="dxa"/>
              <w:bottom w:w="120" w:type="dxa"/>
              <w:end w:w="120" w:type="dxa"/>
            </w:tcMar>
          </w:tcPr>
          <w:p>
            <w:pPr>
              <w:spacing w:after="40" w:before="40"/>
            </w:pPr>
            <w:r>
              <w:rPr>
                <w:rFonts w:ascii="Aptos" w:hAnsi="Aptos"/>
                <w:sz w:val="18"/>
              </w:rPr>
              <w:t>os_lifecycle_status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Inventory production/installed status is compared with CMDB End of Life stage.</w:t>
            </w:r>
          </w:p>
        </w:tc>
        <w:tc>
          <w:tcPr>
            <w:tcW w:type="dxa" w:w="2592"/>
            <w:vAlign w:val="center"/>
            <w:tcMar>
              <w:top w:w="120" w:type="dxa"/>
              <w:start w:w="120" w:type="dxa"/>
              <w:bottom w:w="120" w:type="dxa"/>
              <w:end w:w="120" w:type="dxa"/>
            </w:tcMar>
          </w:tcPr>
          <w:p>
            <w:pPr>
              <w:spacing w:after="40" w:before="40"/>
            </w:pPr>
            <w:r>
              <w:rPr>
                <w:rFonts w:ascii="Aptos" w:hAnsi="Aptos"/>
                <w:sz w:val="18"/>
              </w:rPr>
              <w:t>Produces Retire in IS where applicable.</w:t>
            </w:r>
          </w:p>
        </w:tc>
      </w:tr>
      <w:tr>
        <w:tc>
          <w:tcPr>
            <w:tcW w:type="dxa" w:w="2592"/>
            <w:vAlign w:val="center"/>
            <w:tcMar>
              <w:top w:w="120" w:type="dxa"/>
              <w:start w:w="120" w:type="dxa"/>
              <w:bottom w:w="120" w:type="dxa"/>
              <w:end w:w="120" w:type="dxa"/>
            </w:tcMar>
          </w:tcPr>
          <w:p>
            <w:pPr>
              <w:spacing w:after="40" w:before="40"/>
            </w:pPr>
            <w:r>
              <w:rPr>
                <w:rFonts w:ascii="Aptos" w:hAnsi="Aptos"/>
                <w:sz w:val="18"/>
              </w:rPr>
              <w:t>Output Layer</w:t>
            </w:r>
          </w:p>
        </w:tc>
        <w:tc>
          <w:tcPr>
            <w:tcW w:type="dxa" w:w="2592"/>
            <w:vAlign w:val="center"/>
            <w:tcMar>
              <w:top w:w="120" w:type="dxa"/>
              <w:start w:w="120" w:type="dxa"/>
              <w:bottom w:w="120" w:type="dxa"/>
              <w:end w:w="120" w:type="dxa"/>
            </w:tcMar>
          </w:tcPr>
          <w:p>
            <w:pPr>
              <w:spacing w:after="40" w:before="40"/>
            </w:pPr>
            <w:r>
              <w:rPr>
                <w:rFonts w:ascii="Aptos" w:hAnsi="Aptos"/>
                <w:sz w:val="18"/>
              </w:rPr>
              <w:t>Calculated analysis frames</w:t>
            </w:r>
          </w:p>
        </w:tc>
        <w:tc>
          <w:tcPr>
            <w:tcW w:type="dxa" w:w="2592"/>
            <w:vAlign w:val="center"/>
            <w:tcMar>
              <w:top w:w="120" w:type="dxa"/>
              <w:start w:w="120" w:type="dxa"/>
              <w:bottom w:w="120" w:type="dxa"/>
              <w:end w:w="120" w:type="dxa"/>
            </w:tcMar>
          </w:tcPr>
          <w:p>
            <w:pPr>
              <w:spacing w:after="40" w:before="40"/>
            </w:pPr>
            <w:r>
              <w:rPr>
                <w:rFonts w:ascii="Aptos" w:hAnsi="Aptos"/>
                <w:sz w:val="18"/>
              </w:rPr>
              <w:t>Analysis frames are written into a single formatted Excel workbook.</w:t>
            </w:r>
          </w:p>
        </w:tc>
        <w:tc>
          <w:tcPr>
            <w:tcW w:type="dxa" w:w="2592"/>
            <w:vAlign w:val="center"/>
            <w:tcMar>
              <w:top w:w="120" w:type="dxa"/>
              <w:start w:w="120" w:type="dxa"/>
              <w:bottom w:w="120" w:type="dxa"/>
              <w:end w:w="120" w:type="dxa"/>
            </w:tcMar>
          </w:tcPr>
          <w:p>
            <w:pPr>
              <w:spacing w:after="40" w:before="40"/>
            </w:pPr>
            <w:r>
              <w:rPr>
                <w:rFonts w:ascii="Aptos" w:hAnsi="Aptos"/>
                <w:sz w:val="18"/>
              </w:rPr>
              <w:t>Creates Summary, validation, matching, exception, and reference sheets.</w:t>
            </w:r>
          </w:p>
        </w:tc>
      </w:tr>
    </w:tbl>
    <w:p>
      <w:pPr>
        <w:pStyle w:val="Heading1"/>
      </w:pPr>
      <w:r>
        <w:rPr>
          <w:rFonts w:ascii="Aptos Display" w:hAnsi="Aptos Display"/>
          <w:color w:val="1F4E79"/>
        </w:rPr>
        <w:t>6. Core Matching and Validation Rules</w:t>
      </w:r>
    </w:p>
    <w:p>
      <w:pPr>
        <w:pStyle w:val="Heading2"/>
      </w:pPr>
      <w:r>
        <w:rPr>
          <w:rFonts w:ascii="Aptos Display" w:hAnsi="Aptos Display"/>
          <w:color w:val="1F4E79"/>
        </w:rPr>
        <w:t>6.1 Firmware Split Rule</w:t>
      </w:r>
    </w:p>
    <w:p>
      <w:r>
        <w:t>The app reads the NW CMDB field named Firmware Version and splits it into Firmware Name and Firmware Version. The split is based on the last version-like token in the value. The original source value is preserved as Original Firmware Version in the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Original NW CMDB Firmware Version</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Version</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IOS XE 17.12.07a</w:t>
            </w:r>
          </w:p>
        </w:tc>
        <w:tc>
          <w:tcPr>
            <w:tcW w:type="dxa" w:w="3456"/>
            <w:vAlign w:val="center"/>
            <w:tcMar>
              <w:top w:w="120" w:type="dxa"/>
              <w:start w:w="120" w:type="dxa"/>
              <w:bottom w:w="120" w:type="dxa"/>
              <w:end w:w="120" w:type="dxa"/>
            </w:tcMar>
          </w:tcPr>
          <w:p>
            <w:pPr>
              <w:spacing w:after="40" w:before="40"/>
            </w:pPr>
            <w:r>
              <w:rPr>
                <w:rFonts w:ascii="Aptos" w:hAnsi="Aptos"/>
                <w:sz w:val="18"/>
              </w:rPr>
              <w:t>Cisco IOS XE</w:t>
            </w:r>
          </w:p>
        </w:tc>
        <w:tc>
          <w:tcPr>
            <w:tcW w:type="dxa" w:w="3456"/>
            <w:vAlign w:val="center"/>
            <w:tcMar>
              <w:top w:w="120" w:type="dxa"/>
              <w:start w:w="120" w:type="dxa"/>
              <w:bottom w:w="120" w:type="dxa"/>
              <w:end w:w="120" w:type="dxa"/>
            </w:tcMar>
          </w:tcPr>
          <w:p>
            <w:pPr>
              <w:spacing w:after="40" w:before="40"/>
            </w:pPr>
            <w:r>
              <w:rPr>
                <w:rFonts w:ascii="Aptos" w:hAnsi="Aptos"/>
                <w:sz w:val="18"/>
              </w:rPr>
              <w:t>17.12.07a</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ASA 9.20(4)30</w:t>
            </w:r>
          </w:p>
        </w:tc>
        <w:tc>
          <w:tcPr>
            <w:tcW w:type="dxa" w:w="3456"/>
            <w:vAlign w:val="center"/>
            <w:tcMar>
              <w:top w:w="120" w:type="dxa"/>
              <w:start w:w="120" w:type="dxa"/>
              <w:bottom w:w="120" w:type="dxa"/>
              <w:end w:w="120" w:type="dxa"/>
            </w:tcMar>
          </w:tcPr>
          <w:p>
            <w:pPr>
              <w:spacing w:after="40" w:before="40"/>
            </w:pPr>
            <w:r>
              <w:rPr>
                <w:rFonts w:ascii="Aptos" w:hAnsi="Aptos"/>
                <w:sz w:val="18"/>
              </w:rPr>
              <w:t>Cisco ASA</w:t>
            </w:r>
          </w:p>
        </w:tc>
        <w:tc>
          <w:tcPr>
            <w:tcW w:type="dxa" w:w="3456"/>
            <w:vAlign w:val="center"/>
            <w:tcMar>
              <w:top w:w="120" w:type="dxa"/>
              <w:start w:w="120" w:type="dxa"/>
              <w:bottom w:w="120" w:type="dxa"/>
              <w:end w:w="120" w:type="dxa"/>
            </w:tcMar>
          </w:tcPr>
          <w:p>
            <w:pPr>
              <w:spacing w:after="40" w:before="40"/>
            </w:pPr>
            <w:r>
              <w:rPr>
                <w:rFonts w:ascii="Aptos" w:hAnsi="Aptos"/>
                <w:sz w:val="18"/>
              </w:rPr>
              <w:t>9.20(4)30</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FXOS 2.14(3.124)</w:t>
            </w:r>
          </w:p>
        </w:tc>
        <w:tc>
          <w:tcPr>
            <w:tcW w:type="dxa" w:w="3456"/>
            <w:vAlign w:val="center"/>
            <w:tcMar>
              <w:top w:w="120" w:type="dxa"/>
              <w:start w:w="120" w:type="dxa"/>
              <w:bottom w:w="120" w:type="dxa"/>
              <w:end w:w="120" w:type="dxa"/>
            </w:tcMar>
          </w:tcPr>
          <w:p>
            <w:pPr>
              <w:spacing w:after="40" w:before="40"/>
            </w:pPr>
            <w:r>
              <w:rPr>
                <w:rFonts w:ascii="Aptos" w:hAnsi="Aptos"/>
                <w:sz w:val="18"/>
              </w:rPr>
              <w:t>Cisco FXOS</w:t>
            </w:r>
          </w:p>
        </w:tc>
        <w:tc>
          <w:tcPr>
            <w:tcW w:type="dxa" w:w="3456"/>
            <w:vAlign w:val="center"/>
            <w:tcMar>
              <w:top w:w="120" w:type="dxa"/>
              <w:start w:w="120" w:type="dxa"/>
              <w:bottom w:w="120" w:type="dxa"/>
              <w:end w:w="120" w:type="dxa"/>
            </w:tcMar>
          </w:tcPr>
          <w:p>
            <w:pPr>
              <w:spacing w:after="40" w:before="40"/>
            </w:pPr>
            <w:r>
              <w:rPr>
                <w:rFonts w:ascii="Aptos" w:hAnsi="Aptos"/>
                <w:sz w:val="18"/>
              </w:rPr>
              <w:t>2.14(3.124)</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AireOS 8.10.190.0</w:t>
            </w:r>
          </w:p>
        </w:tc>
        <w:tc>
          <w:tcPr>
            <w:tcW w:type="dxa" w:w="3456"/>
            <w:vAlign w:val="center"/>
            <w:tcMar>
              <w:top w:w="120" w:type="dxa"/>
              <w:start w:w="120" w:type="dxa"/>
              <w:bottom w:w="120" w:type="dxa"/>
              <w:end w:w="120" w:type="dxa"/>
            </w:tcMar>
          </w:tcPr>
          <w:p>
            <w:pPr>
              <w:spacing w:after="40" w:before="40"/>
            </w:pPr>
            <w:r>
              <w:rPr>
                <w:rFonts w:ascii="Aptos" w:hAnsi="Aptos"/>
                <w:sz w:val="18"/>
              </w:rPr>
              <w:t>Cisco AireOS</w:t>
            </w:r>
          </w:p>
        </w:tc>
        <w:tc>
          <w:tcPr>
            <w:tcW w:type="dxa" w:w="3456"/>
            <w:vAlign w:val="center"/>
            <w:tcMar>
              <w:top w:w="120" w:type="dxa"/>
              <w:start w:w="120" w:type="dxa"/>
              <w:bottom w:w="120" w:type="dxa"/>
              <w:end w:w="120" w:type="dxa"/>
            </w:tcMar>
          </w:tcPr>
          <w:p>
            <w:pPr>
              <w:spacing w:after="40" w:before="40"/>
            </w:pPr>
            <w:r>
              <w:rPr>
                <w:rFonts w:ascii="Aptos" w:hAnsi="Aptos"/>
                <w:sz w:val="18"/>
              </w:rPr>
              <w:t>8.10.190.0</w:t>
            </w:r>
          </w:p>
        </w:tc>
      </w:tr>
    </w:tbl>
    <w:p>
      <w:pPr>
        <w:pStyle w:val="Heading2"/>
      </w:pPr>
      <w:r>
        <w:rPr>
          <w:rFonts w:ascii="Aptos Display" w:hAnsi="Aptos Display"/>
          <w:color w:val="1F4E79"/>
        </w:rPr>
        <w:t>6.2 Catalog Match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Outcome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Rule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Business Meaning</w:t>
            </w:r>
          </w:p>
        </w:tc>
      </w:tr>
      <w:tr>
        <w:tc>
          <w:tcPr>
            <w:tcW w:type="dxa" w:w="3456"/>
            <w:vAlign w:val="center"/>
            <w:tcMar>
              <w:top w:w="120" w:type="dxa"/>
              <w:start w:w="120" w:type="dxa"/>
              <w:bottom w:w="120" w:type="dxa"/>
              <w:end w:w="120" w:type="dxa"/>
            </w:tcMar>
          </w:tcPr>
          <w:p>
            <w:pPr>
              <w:spacing w:after="40" w:before="40"/>
            </w:pPr>
            <w:r>
              <w:rPr>
                <w:rFonts w:ascii="Aptos" w:hAnsi="Aptos"/>
                <w:sz w:val="18"/>
              </w:rPr>
              <w:t>Match</w:t>
            </w:r>
          </w:p>
        </w:tc>
        <w:tc>
          <w:tcPr>
            <w:tcW w:type="dxa" w:w="3456"/>
            <w:vAlign w:val="center"/>
            <w:tcMar>
              <w:top w:w="120" w:type="dxa"/>
              <w:start w:w="120" w:type="dxa"/>
              <w:bottom w:w="120" w:type="dxa"/>
              <w:end w:w="120" w:type="dxa"/>
            </w:tcMar>
          </w:tcPr>
          <w:p>
            <w:pPr>
              <w:spacing w:after="40" w:before="40"/>
            </w:pPr>
            <w:r>
              <w:rPr>
                <w:rFonts w:ascii="Aptos" w:hAnsi="Aptos"/>
                <w:sz w:val="18"/>
              </w:rPr>
              <w:t>Firmware Name equals software_product_name and Firmware Version equals Software Version.</w:t>
            </w:r>
          </w:p>
        </w:tc>
        <w:tc>
          <w:tcPr>
            <w:tcW w:type="dxa" w:w="3456"/>
            <w:vAlign w:val="center"/>
            <w:tcMar>
              <w:top w:w="120" w:type="dxa"/>
              <w:start w:w="120" w:type="dxa"/>
              <w:bottom w:w="120" w:type="dxa"/>
              <w:end w:w="120" w:type="dxa"/>
            </w:tcMar>
          </w:tcPr>
          <w:p>
            <w:pPr>
              <w:spacing w:after="40" w:before="40"/>
            </w:pPr>
            <w:r>
              <w:rPr>
                <w:rFonts w:ascii="Aptos" w:hAnsi="Aptos"/>
                <w:sz w:val="18"/>
              </w:rPr>
              <w:t>Firmware is already represented correctly in the OS catalog.</w:t>
            </w:r>
          </w:p>
        </w:tc>
      </w:tr>
      <w:tr>
        <w:tc>
          <w:tcPr>
            <w:tcW w:type="dxa" w:w="3456"/>
            <w:vAlign w:val="center"/>
            <w:tcMar>
              <w:top w:w="120" w:type="dxa"/>
              <w:start w:w="120" w:type="dxa"/>
              <w:bottom w:w="120" w:type="dxa"/>
              <w:end w:w="120" w:type="dxa"/>
            </w:tcMar>
          </w:tcPr>
          <w:p>
            <w:pPr>
              <w:spacing w:after="40" w:before="40"/>
            </w:pPr>
            <w:r>
              <w:rPr>
                <w:rFonts w:ascii="Aptos" w:hAnsi="Aptos"/>
                <w:sz w:val="18"/>
              </w:rPr>
              <w:t>Closest Match Proposed</w:t>
            </w:r>
          </w:p>
        </w:tc>
        <w:tc>
          <w:tcPr>
            <w:tcW w:type="dxa" w:w="3456"/>
            <w:vAlign w:val="center"/>
            <w:tcMar>
              <w:top w:w="120" w:type="dxa"/>
              <w:start w:w="120" w:type="dxa"/>
              <w:bottom w:w="120" w:type="dxa"/>
              <w:end w:w="120" w:type="dxa"/>
            </w:tcMar>
          </w:tcPr>
          <w:p>
            <w:pPr>
              <w:spacing w:after="40" w:before="40"/>
            </w:pPr>
            <w:r>
              <w:rPr>
                <w:rFonts w:ascii="Aptos" w:hAnsi="Aptos"/>
                <w:sz w:val="18"/>
              </w:rPr>
              <w:t>Product name matches and the version matches after removing only a trailing alphabetic suffix from the NW CMDB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Catalog may already contain the base version and can be reviewed before update.</w:t>
            </w:r>
          </w:p>
        </w:tc>
      </w:tr>
      <w:tr>
        <w:tc>
          <w:tcPr>
            <w:tcW w:type="dxa" w:w="3456"/>
            <w:vAlign w:val="center"/>
            <w:tcMar>
              <w:top w:w="120" w:type="dxa"/>
              <w:start w:w="120" w:type="dxa"/>
              <w:bottom w:w="120" w:type="dxa"/>
              <w:end w:w="120" w:type="dxa"/>
            </w:tcMar>
          </w:tcPr>
          <w:p>
            <w:pPr>
              <w:spacing w:after="40" w:before="40"/>
            </w:pPr>
            <w:r>
              <w:rPr>
                <w:rFonts w:ascii="Aptos" w:hAnsi="Aptos"/>
                <w:sz w:val="18"/>
              </w:rPr>
              <w:t>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No exact or accepted closest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Catalog update or data correction may be required.</w:t>
            </w:r>
          </w:p>
        </w:tc>
      </w:tr>
    </w:tbl>
    <w:p>
      <w:pPr>
        <w:pStyle w:val="Heading2"/>
      </w:pPr>
      <w:r>
        <w:rPr>
          <w:rFonts w:ascii="Aptos Display" w:hAnsi="Aptos Display"/>
          <w:color w:val="1F4E79"/>
        </w:rPr>
        <w:t>6.3 Inventory OS Reconciliation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Check</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Logic</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Status / Indicator</w:t>
            </w:r>
          </w:p>
        </w:tc>
      </w:tr>
      <w:tr>
        <w:tc>
          <w:tcPr>
            <w:tcW w:type="dxa" w:w="3456"/>
            <w:vAlign w:val="center"/>
            <w:tcMar>
              <w:top w:w="120" w:type="dxa"/>
              <w:start w:w="120" w:type="dxa"/>
              <w:bottom w:w="120" w:type="dxa"/>
              <w:end w:w="120" w:type="dxa"/>
            </w:tcMar>
          </w:tcPr>
          <w:p>
            <w:pPr>
              <w:spacing w:after="40" w:before="40"/>
            </w:pPr>
            <w:r>
              <w:rPr>
                <w:rFonts w:ascii="Aptos" w:hAnsi="Aptos"/>
                <w:sz w:val="18"/>
              </w:rPr>
              <w:t>Direct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Configuration Item is compared to Inventory OS Hostname.</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Special character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If CMDB Configuration Item contains /, the app checks equivalent names where / is replaced by _ or -.</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 -HostName with special character</w:t>
            </w:r>
          </w:p>
        </w:tc>
      </w:tr>
      <w:tr>
        <w:tc>
          <w:tcPr>
            <w:tcW w:type="dxa" w:w="3456"/>
            <w:vAlign w:val="center"/>
            <w:tcMar>
              <w:top w:w="120" w:type="dxa"/>
              <w:start w:w="120" w:type="dxa"/>
              <w:bottom w:w="120" w:type="dxa"/>
              <w:end w:w="120" w:type="dxa"/>
            </w:tcMar>
          </w:tcPr>
          <w:p>
            <w:pPr>
              <w:spacing w:after="40" w:before="40"/>
            </w:pPr>
            <w:r>
              <w:rPr>
                <w:rFonts w:ascii="Aptos" w:hAnsi="Aptos"/>
                <w:sz w:val="18"/>
              </w:rPr>
              <w:t>Serial number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serial number is compared to Inventory OS os_parent_serial_number using case-agnostic matching.</w:t>
            </w:r>
          </w:p>
        </w:tc>
        <w:tc>
          <w:tcPr>
            <w:tcW w:type="dxa" w:w="3456"/>
            <w:vAlign w:val="center"/>
            <w:tcMar>
              <w:top w:w="120" w:type="dxa"/>
              <w:start w:w="120" w:type="dxa"/>
              <w:bottom w:w="120" w:type="dxa"/>
              <w:end w:w="120" w:type="dxa"/>
            </w:tcMar>
          </w:tcPr>
          <w:p>
            <w:pPr>
              <w:spacing w:after="40" w:before="40"/>
            </w:pPr>
            <w:r>
              <w:rPr>
                <w:rFonts w:ascii="Aptos" w:hAnsi="Aptos"/>
                <w:sz w:val="18"/>
              </w:rPr>
              <w:t>Matched by serial</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Serial number matches but hostname does not match directly or through slash replacement.</w:t>
            </w:r>
          </w:p>
        </w:tc>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r>
      <w:tr>
        <w:tc>
          <w:tcPr>
            <w:tcW w:type="dxa" w:w="3456"/>
            <w:vAlign w:val="center"/>
            <w:tcMar>
              <w:top w:w="120" w:type="dxa"/>
              <w:start w:w="120" w:type="dxa"/>
              <w:bottom w:w="120" w:type="dxa"/>
              <w:end w:w="120" w:type="dxa"/>
            </w:tcMar>
          </w:tcPr>
          <w:p>
            <w:pPr>
              <w:spacing w:after="40" w:before="40"/>
            </w:pPr>
            <w:r>
              <w:rPr>
                <w:rFonts w:ascii="Aptos" w:hAnsi="Aptos"/>
                <w:sz w:val="18"/>
              </w:rPr>
              <w:t>Not found</w:t>
            </w:r>
          </w:p>
        </w:tc>
        <w:tc>
          <w:tcPr>
            <w:tcW w:type="dxa" w:w="3456"/>
            <w:vAlign w:val="center"/>
            <w:tcMar>
              <w:top w:w="120" w:type="dxa"/>
              <w:start w:w="120" w:type="dxa"/>
              <w:bottom w:w="120" w:type="dxa"/>
              <w:end w:w="120" w:type="dxa"/>
            </w:tcMar>
          </w:tcPr>
          <w:p>
            <w:pPr>
              <w:spacing w:after="40" w:before="40"/>
            </w:pPr>
            <w:r>
              <w:rPr>
                <w:rFonts w:ascii="Aptos" w:hAnsi="Aptos"/>
                <w:sz w:val="18"/>
              </w:rPr>
              <w:t>No direct hostname, special hostname, or serial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Not Present in IS and listed under IS Load Candidates</w:t>
            </w:r>
          </w:p>
        </w:tc>
      </w:tr>
    </w:tbl>
    <w:p>
      <w:pPr>
        <w:pStyle w:val="Heading2"/>
      </w:pPr>
      <w:r>
        <w:rPr>
          <w:rFonts w:ascii="Aptos Display" w:hAnsi="Aptos Display"/>
          <w:color w:val="1F4E79"/>
        </w:rPr>
        <w:t>6.4 Lifecycle Action Rule</w:t>
      </w:r>
    </w:p>
    <w:p>
      <w:r>
        <w:t>The lifecycle rule identifies records where Inventory OS still shows an active state while CMDB identifies the CI as End of Life. The app marks these as Retire in 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Inventory OS os_lifecycle_status</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NW CMDB LifeCycle Stage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Lifecycle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production or Installed</w:t>
            </w:r>
          </w:p>
        </w:tc>
        <w:tc>
          <w:tcPr>
            <w:tcW w:type="dxa" w:w="3456"/>
            <w:vAlign w:val="center"/>
            <w:tcMar>
              <w:top w:w="120" w:type="dxa"/>
              <w:start w:w="120" w:type="dxa"/>
              <w:bottom w:w="120" w:type="dxa"/>
              <w:end w:w="120" w:type="dxa"/>
            </w:tcMar>
          </w:tcPr>
          <w:p>
            <w:pPr>
              <w:spacing w:after="40" w:before="40"/>
            </w:pPr>
            <w:r>
              <w:rPr>
                <w:rFonts w:ascii="Aptos" w:hAnsi="Aptos"/>
                <w:sz w:val="18"/>
              </w:rPr>
              <w:t>End of Life</w:t>
            </w:r>
          </w:p>
        </w:tc>
        <w:tc>
          <w:tcPr>
            <w:tcW w:type="dxa" w:w="3456"/>
            <w:vAlign w:val="center"/>
            <w:tcMar>
              <w:top w:w="120" w:type="dxa"/>
              <w:start w:w="120" w:type="dxa"/>
              <w:bottom w:w="120" w:type="dxa"/>
              <w:end w:w="120" w:type="dxa"/>
            </w:tcMar>
          </w:tcPr>
          <w:p>
            <w:pPr>
              <w:spacing w:after="40" w:before="40"/>
            </w:pPr>
            <w:r>
              <w:rPr>
                <w:rFonts w:ascii="Aptos" w:hAnsi="Aptos"/>
                <w:sz w:val="18"/>
              </w:rPr>
              <w:t>Retire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Blank or unavailable</w:t>
            </w:r>
          </w:p>
        </w:tc>
        <w:tc>
          <w:tcPr>
            <w:tcW w:type="dxa" w:w="3456"/>
            <w:vAlign w:val="center"/>
            <w:tcMar>
              <w:top w:w="120" w:type="dxa"/>
              <w:start w:w="120" w:type="dxa"/>
              <w:bottom w:w="120" w:type="dxa"/>
              <w:end w:w="120" w:type="dxa"/>
            </w:tcMar>
          </w:tcPr>
          <w:p>
            <w:pPr>
              <w:spacing w:after="40" w:before="40"/>
            </w:pPr>
            <w:r>
              <w:rPr>
                <w:rFonts w:ascii="Aptos" w:hAnsi="Aptos"/>
                <w:sz w:val="18"/>
              </w:rPr>
              <w:t>Any value</w:t>
            </w:r>
          </w:p>
        </w:tc>
        <w:tc>
          <w:tcPr>
            <w:tcW w:type="dxa" w:w="3456"/>
            <w:vAlign w:val="center"/>
            <w:tcMar>
              <w:top w:w="120" w:type="dxa"/>
              <w:start w:w="120" w:type="dxa"/>
              <w:bottom w:w="120" w:type="dxa"/>
              <w:end w:w="120" w:type="dxa"/>
            </w:tcMar>
          </w:tcPr>
          <w:p>
            <w:pPr>
              <w:spacing w:after="40" w:before="40"/>
            </w:pPr>
            <w:r>
              <w:rPr>
                <w:rFonts w:ascii="Aptos" w:hAnsi="Aptos"/>
                <w:sz w:val="18"/>
              </w:rPr>
              <w:t>Lifecycle data missing</w:t>
            </w:r>
          </w:p>
        </w:tc>
      </w:tr>
      <w:tr>
        <w:tc>
          <w:tcPr>
            <w:tcW w:type="dxa" w:w="3456"/>
            <w:vAlign w:val="center"/>
            <w:tcMar>
              <w:top w:w="120" w:type="dxa"/>
              <w:start w:w="120" w:type="dxa"/>
              <w:bottom w:w="120" w:type="dxa"/>
              <w:end w:w="120" w:type="dxa"/>
            </w:tcMar>
          </w:tcPr>
          <w:p>
            <w:pPr>
              <w:spacing w:after="40" w:before="40"/>
            </w:pPr>
            <w:r>
              <w:rPr>
                <w:rFonts w:ascii="Aptos" w:hAnsi="Aptos"/>
                <w:sz w:val="18"/>
              </w:rPr>
              <w:t>Any other combination</w:t>
            </w:r>
          </w:p>
        </w:tc>
        <w:tc>
          <w:tcPr>
            <w:tcW w:type="dxa" w:w="3456"/>
            <w:vAlign w:val="center"/>
            <w:tcMar>
              <w:top w:w="120" w:type="dxa"/>
              <w:start w:w="120" w:type="dxa"/>
              <w:bottom w:w="120" w:type="dxa"/>
              <w:end w:w="120" w:type="dxa"/>
            </w:tcMar>
          </w:tcPr>
          <w:p>
            <w:pPr>
              <w:spacing w:after="40" w:before="40"/>
            </w:pPr>
            <w:r>
              <w:rPr>
                <w:rFonts w:ascii="Aptos" w:hAnsi="Aptos"/>
                <w:sz w:val="18"/>
              </w:rPr>
              <w:t>Any other value</w:t>
            </w:r>
          </w:p>
        </w:tc>
        <w:tc>
          <w:tcPr>
            <w:tcW w:type="dxa" w:w="3456"/>
            <w:vAlign w:val="center"/>
            <w:tcMar>
              <w:top w:w="120" w:type="dxa"/>
              <w:start w:w="120" w:type="dxa"/>
              <w:bottom w:w="120" w:type="dxa"/>
              <w:end w:w="120" w:type="dxa"/>
            </w:tcMar>
          </w:tcPr>
          <w:p>
            <w:pPr>
              <w:spacing w:after="40" w:before="40"/>
            </w:pPr>
            <w:r>
              <w:rPr>
                <w:rFonts w:ascii="Aptos" w:hAnsi="Aptos"/>
                <w:sz w:val="18"/>
              </w:rPr>
              <w:t>No lifecycle action</w:t>
            </w:r>
          </w:p>
        </w:tc>
      </w:tr>
    </w:tbl>
    <w:p>
      <w:r>
        <w:br w:type="page"/>
      </w:r>
    </w:p>
    <w:p>
      <w:pPr>
        <w:pStyle w:val="Heading1"/>
      </w:pPr>
      <w:r>
        <w:rPr>
          <w:rFonts w:ascii="Aptos Display" w:hAnsi="Aptos Display"/>
          <w:color w:val="1F4E79"/>
        </w:rPr>
        <w:t>7. Output Workbook Structure</w:t>
      </w:r>
    </w:p>
    <w:p>
      <w:r>
        <w:t>The V1 output option is a single Excel workbook with multiple sheets. Each sheet supports a specific operational or review activity.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Sheet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Primary Audience</w:t>
            </w:r>
          </w:p>
        </w:tc>
      </w:tr>
      <w:tr>
        <w:tc>
          <w:tcPr>
            <w:tcW w:type="dxa" w:w="3456"/>
            <w:vAlign w:val="center"/>
            <w:tcMar>
              <w:top w:w="120" w:type="dxa"/>
              <w:start w:w="120" w:type="dxa"/>
              <w:bottom w:w="120" w:type="dxa"/>
              <w:end w:w="120" w:type="dxa"/>
            </w:tcMar>
          </w:tcPr>
          <w:p>
            <w:pPr>
              <w:spacing w:after="40" w:before="40"/>
            </w:pPr>
            <w:r>
              <w:rPr>
                <w:rFonts w:ascii="Aptos" w:hAnsi="Aptos"/>
                <w:sz w:val="18"/>
              </w:rPr>
              <w:t>Summary</w:t>
            </w:r>
          </w:p>
        </w:tc>
        <w:tc>
          <w:tcPr>
            <w:tcW w:type="dxa" w:w="3456"/>
            <w:vAlign w:val="center"/>
            <w:tcMar>
              <w:top w:w="120" w:type="dxa"/>
              <w:start w:w="120" w:type="dxa"/>
              <w:bottom w:w="120" w:type="dxa"/>
              <w:end w:w="120" w:type="dxa"/>
            </w:tcMar>
          </w:tcPr>
          <w:p>
            <w:pPr>
              <w:spacing w:after="40" w:before="40"/>
            </w:pPr>
            <w:r>
              <w:rPr>
                <w:rFonts w:ascii="Aptos" w:hAnsi="Aptos"/>
                <w:sz w:val="18"/>
              </w:rPr>
              <w:t>Provides total counts and key analysis metrics.</w:t>
            </w:r>
          </w:p>
        </w:tc>
        <w:tc>
          <w:tcPr>
            <w:tcW w:type="dxa" w:w="3456"/>
            <w:vAlign w:val="center"/>
            <w:tcMar>
              <w:top w:w="120" w:type="dxa"/>
              <w:start w:w="120" w:type="dxa"/>
              <w:bottom w:w="120" w:type="dxa"/>
              <w:end w:w="120" w:type="dxa"/>
            </w:tcMar>
          </w:tcPr>
          <w:p>
            <w:pPr>
              <w:spacing w:after="40" w:before="40"/>
            </w:pPr>
            <w:r>
              <w:rPr>
                <w:rFonts w:ascii="Aptos" w:hAnsi="Aptos"/>
                <w:sz w:val="18"/>
              </w:rPr>
              <w:t>Service leads,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NW Firmware Split</w:t>
            </w:r>
          </w:p>
        </w:tc>
        <w:tc>
          <w:tcPr>
            <w:tcW w:type="dxa" w:w="3456"/>
            <w:vAlign w:val="center"/>
            <w:tcMar>
              <w:top w:w="120" w:type="dxa"/>
              <w:start w:w="120" w:type="dxa"/>
              <w:bottom w:w="120" w:type="dxa"/>
              <w:end w:w="120" w:type="dxa"/>
            </w:tcMar>
          </w:tcPr>
          <w:p>
            <w:pPr>
              <w:spacing w:after="40" w:before="40"/>
            </w:pPr>
            <w:r>
              <w:rPr>
                <w:rFonts w:ascii="Aptos" w:hAnsi="Aptos"/>
                <w:sz w:val="18"/>
              </w:rPr>
              <w:t>Shows NW CMDB records with firmware split into Firmware Name and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CMDB and catalog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Firmware Catalog Validation</w:t>
            </w:r>
          </w:p>
        </w:tc>
        <w:tc>
          <w:tcPr>
            <w:tcW w:type="dxa" w:w="3456"/>
            <w:vAlign w:val="center"/>
            <w:tcMar>
              <w:top w:w="120" w:type="dxa"/>
              <w:start w:w="120" w:type="dxa"/>
              <w:bottom w:w="120" w:type="dxa"/>
              <w:end w:w="120" w:type="dxa"/>
            </w:tcMar>
          </w:tcPr>
          <w:p>
            <w:pPr>
              <w:spacing w:after="40" w:before="40"/>
            </w:pPr>
            <w:r>
              <w:rPr>
                <w:rFonts w:ascii="Aptos" w:hAnsi="Aptos"/>
                <w:sz w:val="18"/>
              </w:rPr>
              <w:t>Shows exact match, closest match, and catalog update required outcomes.</w:t>
            </w:r>
          </w:p>
        </w:tc>
        <w:tc>
          <w:tcPr>
            <w:tcW w:type="dxa" w:w="3456"/>
            <w:vAlign w:val="center"/>
            <w:tcMar>
              <w:top w:w="120" w:type="dxa"/>
              <w:start w:w="120" w:type="dxa"/>
              <w:bottom w:w="120" w:type="dxa"/>
              <w:end w:w="120" w:type="dxa"/>
            </w:tcMar>
          </w:tcPr>
          <w:p>
            <w:pPr>
              <w:spacing w:after="40" w:before="40"/>
            </w:pPr>
            <w:r>
              <w:rPr>
                <w:rFonts w:ascii="Aptos" w:hAnsi="Aptos"/>
                <w:sz w:val="18"/>
              </w:rPr>
              <w:t>Catalog owners</w:t>
            </w:r>
          </w:p>
        </w:tc>
      </w:tr>
      <w:tr>
        <w:tc>
          <w:tcPr>
            <w:tcW w:type="dxa" w:w="3456"/>
            <w:vAlign w:val="center"/>
            <w:tcMar>
              <w:top w:w="120" w:type="dxa"/>
              <w:start w:w="120" w:type="dxa"/>
              <w:bottom w:w="120" w:type="dxa"/>
              <w:end w:w="120" w:type="dxa"/>
            </w:tcMar>
          </w:tcPr>
          <w:p>
            <w:pPr>
              <w:spacing w:after="40" w:before="40"/>
            </w:pPr>
            <w:r>
              <w:rPr>
                <w:rFonts w:ascii="Aptos" w:hAnsi="Aptos"/>
                <w:sz w:val="18"/>
              </w:rPr>
              <w:t>Inventory OS vs NW CMDB Match</w:t>
            </w:r>
          </w:p>
        </w:tc>
        <w:tc>
          <w:tcPr>
            <w:tcW w:type="dxa" w:w="3456"/>
            <w:vAlign w:val="center"/>
            <w:tcMar>
              <w:top w:w="120" w:type="dxa"/>
              <w:start w:w="120" w:type="dxa"/>
              <w:bottom w:w="120" w:type="dxa"/>
              <w:end w:w="120" w:type="dxa"/>
            </w:tcMar>
          </w:tcPr>
          <w:p>
            <w:pPr>
              <w:spacing w:after="40" w:before="40"/>
            </w:pPr>
            <w:r>
              <w:rPr>
                <w:rFonts w:ascii="Aptos" w:hAnsi="Aptos"/>
                <w:sz w:val="18"/>
              </w:rPr>
              <w:t>Main reconciliation sheet with hostname, serial, presence, catalog, and lifecycle statuses.</w:t>
            </w:r>
          </w:p>
        </w:tc>
        <w:tc>
          <w:tcPr>
            <w:tcW w:type="dxa" w:w="3456"/>
            <w:vAlign w:val="center"/>
            <w:tcMar>
              <w:top w:w="120" w:type="dxa"/>
              <w:start w:w="120" w:type="dxa"/>
              <w:bottom w:w="120" w:type="dxa"/>
              <w:end w:w="120" w:type="dxa"/>
            </w:tcMar>
          </w:tcPr>
          <w:p>
            <w:pPr>
              <w:spacing w:after="40" w:before="40"/>
            </w:pPr>
            <w:r>
              <w:rPr>
                <w:rFonts w:ascii="Aptos" w:hAnsi="Aptos"/>
                <w:sz w:val="18"/>
              </w:rPr>
              <w:t>Inventory and CMDB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where serial matched but hostname did not.</w:t>
            </w:r>
          </w:p>
        </w:tc>
        <w:tc>
          <w:tcPr>
            <w:tcW w:type="dxa" w:w="3456"/>
            <w:vAlign w:val="center"/>
            <w:tcMar>
              <w:top w:w="120" w:type="dxa"/>
              <w:start w:w="120" w:type="dxa"/>
              <w:bottom w:w="120" w:type="dxa"/>
              <w:end w:w="120" w:type="dxa"/>
            </w:tcMar>
          </w:tcPr>
          <w:p>
            <w:pPr>
              <w:spacing w:after="40" w:before="40"/>
            </w:pPr>
            <w:r>
              <w:rPr>
                <w:rFonts w:ascii="Aptos" w:hAnsi="Aptos"/>
                <w:sz w:val="18"/>
              </w:rPr>
              <w:t>Data correction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Lifecycle Mismatch</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marked Retire in IS.</w:t>
            </w:r>
          </w:p>
        </w:tc>
        <w:tc>
          <w:tcPr>
            <w:tcW w:type="dxa" w:w="3456"/>
            <w:vAlign w:val="center"/>
            <w:tcMar>
              <w:top w:w="120" w:type="dxa"/>
              <w:start w:w="120" w:type="dxa"/>
              <w:bottom w:w="120" w:type="dxa"/>
              <w:end w:w="120" w:type="dxa"/>
            </w:tcMar>
          </w:tcPr>
          <w:p>
            <w:pPr>
              <w:spacing w:after="40" w:before="40"/>
            </w:pPr>
            <w:r>
              <w:rPr>
                <w:rFonts w:ascii="Aptos" w:hAnsi="Aptos"/>
                <w:sz w:val="18"/>
              </w:rPr>
              <w:t>Lifecycle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IS Load Candidates</w:t>
            </w:r>
          </w:p>
        </w:tc>
        <w:tc>
          <w:tcPr>
            <w:tcW w:type="dxa" w:w="3456"/>
            <w:vAlign w:val="center"/>
            <w:tcMar>
              <w:top w:w="120" w:type="dxa"/>
              <w:start w:w="120" w:type="dxa"/>
              <w:bottom w:w="120" w:type="dxa"/>
              <w:end w:w="120" w:type="dxa"/>
            </w:tcMar>
          </w:tcPr>
          <w:p>
            <w:pPr>
              <w:spacing w:after="40" w:before="40"/>
            </w:pPr>
            <w:r>
              <w:rPr>
                <w:rFonts w:ascii="Aptos" w:hAnsi="Aptos"/>
                <w:sz w:val="18"/>
              </w:rPr>
              <w:t>Lists NW CMDB CIs not found in Inventory OS by hostname or serial matching.</w:t>
            </w:r>
          </w:p>
        </w:tc>
        <w:tc>
          <w:tcPr>
            <w:tcW w:type="dxa" w:w="3456"/>
            <w:vAlign w:val="center"/>
            <w:tcMar>
              <w:top w:w="120" w:type="dxa"/>
              <w:start w:w="120" w:type="dxa"/>
              <w:bottom w:w="120" w:type="dxa"/>
              <w:end w:w="120" w:type="dxa"/>
            </w:tcMar>
          </w:tcPr>
          <w:p>
            <w:pPr>
              <w:spacing w:after="40" w:before="40"/>
            </w:pPr>
            <w:r>
              <w:rPr>
                <w:rFonts w:ascii="Aptos" w:hAnsi="Aptos"/>
                <w:sz w:val="18"/>
              </w:rPr>
              <w:t>Inventory Services load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Columns and Errors</w:t>
            </w:r>
          </w:p>
        </w:tc>
        <w:tc>
          <w:tcPr>
            <w:tcW w:type="dxa" w:w="3456"/>
            <w:vAlign w:val="center"/>
            <w:tcMar>
              <w:top w:w="120" w:type="dxa"/>
              <w:start w:w="120" w:type="dxa"/>
              <w:bottom w:w="120" w:type="dxa"/>
              <w:end w:w="120" w:type="dxa"/>
            </w:tcMar>
          </w:tcPr>
          <w:p>
            <w:pPr>
              <w:spacing w:after="40" w:before="40"/>
            </w:pPr>
            <w:r>
              <w:rPr>
                <w:rFonts w:ascii="Aptos" w:hAnsi="Aptos"/>
                <w:sz w:val="18"/>
              </w:rPr>
              <w:t>Captures validation and processing issues.</w:t>
            </w:r>
          </w:p>
        </w:tc>
        <w:tc>
          <w:tcPr>
            <w:tcW w:type="dxa" w:w="3456"/>
            <w:vAlign w:val="center"/>
            <w:tcMar>
              <w:top w:w="120" w:type="dxa"/>
              <w:start w:w="120" w:type="dxa"/>
              <w:bottom w:w="120" w:type="dxa"/>
              <w:end w:w="120" w:type="dxa"/>
            </w:tcMar>
          </w:tcPr>
          <w:p>
            <w:pPr>
              <w:spacing w:after="40" w:before="40"/>
            </w:pPr>
            <w:r>
              <w:rPr>
                <w:rFonts w:ascii="Aptos" w:hAnsi="Aptos"/>
                <w:sz w:val="18"/>
              </w:rPr>
              <w:t>Support and developer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Loaded Files</w:t>
            </w:r>
          </w:p>
        </w:tc>
        <w:tc>
          <w:tcPr>
            <w:tcW w:type="dxa" w:w="3456"/>
            <w:vAlign w:val="center"/>
            <w:tcMar>
              <w:top w:w="120" w:type="dxa"/>
              <w:start w:w="120" w:type="dxa"/>
              <w:bottom w:w="120" w:type="dxa"/>
              <w:end w:w="120" w:type="dxa"/>
            </w:tcMar>
          </w:tcPr>
          <w:p>
            <w:pPr>
              <w:spacing w:after="40" w:before="40"/>
            </w:pPr>
            <w:r>
              <w:rPr>
                <w:rFonts w:ascii="Aptos" w:hAnsi="Aptos"/>
                <w:sz w:val="18"/>
              </w:rPr>
              <w:t>Documents file paths and whether each file was used in V1 analysis.</w:t>
            </w:r>
          </w:p>
        </w:tc>
        <w:tc>
          <w:tcPr>
            <w:tcW w:type="dxa" w:w="3456"/>
            <w:vAlign w:val="center"/>
            <w:tcMar>
              <w:top w:w="120" w:type="dxa"/>
              <w:start w:w="120" w:type="dxa"/>
              <w:bottom w:w="120" w:type="dxa"/>
              <w:end w:w="120" w:type="dxa"/>
            </w:tcMar>
          </w:tcPr>
          <w:p>
            <w:pPr>
              <w:spacing w:after="40" w:before="40"/>
            </w:pPr>
            <w:r>
              <w:rPr>
                <w:rFonts w:ascii="Aptos" w:hAnsi="Aptos"/>
                <w:sz w:val="18"/>
              </w:rPr>
              <w:t>Audit and support reference</w:t>
            </w:r>
          </w:p>
        </w:tc>
      </w:tr>
      <w:tr>
        <w:tc>
          <w:tcPr>
            <w:tcW w:type="dxa" w:w="3456"/>
            <w:vAlign w:val="center"/>
            <w:tcMar>
              <w:top w:w="120" w:type="dxa"/>
              <w:start w:w="120" w:type="dxa"/>
              <w:bottom w:w="120" w:type="dxa"/>
              <w:end w:w="120" w:type="dxa"/>
            </w:tcMar>
          </w:tcPr>
          <w:p>
            <w:pPr>
              <w:spacing w:after="40" w:before="40"/>
            </w:pPr>
            <w:r>
              <w:rPr>
                <w:rFonts w:ascii="Aptos" w:hAnsi="Aptos"/>
                <w:sz w:val="18"/>
              </w:rPr>
              <w:t>Field Mapping Reference</w:t>
            </w:r>
          </w:p>
        </w:tc>
        <w:tc>
          <w:tcPr>
            <w:tcW w:type="dxa" w:w="3456"/>
            <w:vAlign w:val="center"/>
            <w:tcMar>
              <w:top w:w="120" w:type="dxa"/>
              <w:start w:w="120" w:type="dxa"/>
              <w:bottom w:w="120" w:type="dxa"/>
              <w:end w:w="120" w:type="dxa"/>
            </w:tcMar>
          </w:tcPr>
          <w:p>
            <w:pPr>
              <w:spacing w:after="40" w:before="40"/>
            </w:pPr>
            <w:r>
              <w:rPr>
                <w:rFonts w:ascii="Aptos" w:hAnsi="Aptos"/>
                <w:sz w:val="18"/>
              </w:rPr>
              <w:t>Included only when a field mapping file is loaded.</w:t>
            </w:r>
          </w:p>
        </w:tc>
        <w:tc>
          <w:tcPr>
            <w:tcW w:type="dxa" w:w="3456"/>
            <w:vAlign w:val="center"/>
            <w:tcMar>
              <w:top w:w="120" w:type="dxa"/>
              <w:start w:w="120" w:type="dxa"/>
              <w:bottom w:w="120" w:type="dxa"/>
              <w:end w:w="120" w:type="dxa"/>
            </w:tcMar>
          </w:tcPr>
          <w:p>
            <w:pPr>
              <w:spacing w:after="40" w:before="40"/>
            </w:pPr>
            <w:r>
              <w:rPr>
                <w:rFonts w:ascii="Aptos" w:hAnsi="Aptos"/>
                <w:sz w:val="18"/>
              </w:rPr>
              <w:t>Documentation and future transformation reference</w:t>
            </w:r>
          </w:p>
        </w:tc>
      </w:tr>
    </w:tbl>
    <w:p>
      <w:pPr>
        <w:pStyle w:val="Heading1"/>
      </w:pPr>
      <w:r>
        <w:rPr>
          <w:rFonts w:ascii="Aptos Display" w:hAnsi="Aptos Display"/>
          <w:color w:val="1F4E79"/>
        </w:rPr>
        <w:t>8. Operational Notes and Controls</w:t>
      </w:r>
    </w:p>
    <w:p>
      <w:pPr>
        <w:pStyle w:val="ListBullet"/>
      </w:pPr>
      <w:r>
        <w:t>Minimum V1 processing requires Inventory Operating System, NW CMDB Report, and Inventory OS Catalog Report.</w:t>
      </w:r>
    </w:p>
    <w:p>
      <w:pPr>
        <w:pStyle w:val="ListBullet"/>
      </w:pPr>
      <w:r>
        <w:t>Other files are loadable in the GUI to keep the interface consistent for future feature expansion.</w:t>
      </w:r>
    </w:p>
    <w:p>
      <w:pPr>
        <w:pStyle w:val="ListBullet"/>
      </w:pPr>
      <w:r>
        <w:t>Header matching is resilient to common naming variations, but the required logical fields must still be present in the input files.</w:t>
      </w:r>
    </w:p>
    <w:p>
      <w:pPr>
        <w:pStyle w:val="ListBullet"/>
      </w:pPr>
      <w:r>
        <w:t>The app does not use fuzzy matching for firmware version comparison. Closest match is intentionally restricted to trailing alphabetic suffix handling.</w:t>
      </w:r>
    </w:p>
    <w:p>
      <w:pPr>
        <w:pStyle w:val="ListBullet"/>
      </w:pPr>
      <w:r>
        <w:t>Context firewall hostname handling is based strictly on the CMDB Configuration Item value and slash replacement logic. The script does not infer parent firewall hierarchy.</w:t>
      </w:r>
    </w:p>
    <w:p>
      <w:pPr>
        <w:pStyle w:val="ListBullet"/>
      </w:pPr>
      <w:r>
        <w:t>Serial number matching is case agnostic and blank serial numbers are ignored.</w:t>
      </w:r>
    </w:p>
    <w:p>
      <w:pPr>
        <w:pStyle w:val="ListBullet"/>
      </w:pPr>
      <w:r>
        <w:t>All outputs are written to one Excel workbook selected by the user at runtime.</w:t>
      </w:r>
    </w:p>
    <w:p>
      <w:pPr>
        <w:pStyle w:val="Heading1"/>
      </w:pPr>
      <w:r>
        <w:rPr>
          <w:rFonts w:ascii="Aptos Display" w:hAnsi="Aptos Display"/>
          <w:color w:val="1F4E79"/>
        </w:rPr>
        <w:t>9. Exception Handling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Exception Type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Application Behavior</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User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file</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and the GUI shows an error.</w:t>
            </w:r>
          </w:p>
        </w:tc>
        <w:tc>
          <w:tcPr>
            <w:tcW w:type="dxa" w:w="3456"/>
            <w:vAlign w:val="center"/>
            <w:tcMar>
              <w:top w:w="120" w:type="dxa"/>
              <w:start w:w="120" w:type="dxa"/>
              <w:bottom w:w="120" w:type="dxa"/>
              <w:end w:w="120" w:type="dxa"/>
            </w:tcMar>
          </w:tcPr>
          <w:p>
            <w:pPr>
              <w:spacing w:after="40" w:before="40"/>
            </w:pPr>
            <w:r>
              <w:rPr>
                <w:rFonts w:ascii="Aptos" w:hAnsi="Aptos"/>
                <w:sz w:val="18"/>
              </w:rPr>
              <w:t>Load the missing required file and rerun.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column</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because the core analysis cannot be completed reliably.</w:t>
            </w:r>
          </w:p>
        </w:tc>
        <w:tc>
          <w:tcPr>
            <w:tcW w:type="dxa" w:w="3456"/>
            <w:vAlign w:val="center"/>
            <w:tcMar>
              <w:top w:w="120" w:type="dxa"/>
              <w:start w:w="120" w:type="dxa"/>
              <w:bottom w:w="120" w:type="dxa"/>
              <w:end w:w="120" w:type="dxa"/>
            </w:tcMar>
          </w:tcPr>
          <w:p>
            <w:pPr>
              <w:spacing w:after="40" w:before="40"/>
            </w:pPr>
            <w:r>
              <w:rPr>
                <w:rFonts w:ascii="Aptos" w:hAnsi="Aptos"/>
                <w:sz w:val="18"/>
              </w:rPr>
              <w:t>Confirm the source report contains the required field under an acceptable header variant.</w:t>
            </w:r>
          </w:p>
        </w:tc>
      </w:tr>
      <w:tr>
        <w:tc>
          <w:tcPr>
            <w:tcW w:type="dxa" w:w="3456"/>
            <w:vAlign w:val="center"/>
            <w:tcMar>
              <w:top w:w="120" w:type="dxa"/>
              <w:start w:w="120" w:type="dxa"/>
              <w:bottom w:w="120" w:type="dxa"/>
              <w:end w:w="120" w:type="dxa"/>
            </w:tcMar>
          </w:tcPr>
          <w:p>
            <w:pPr>
              <w:spacing w:after="40" w:before="40"/>
            </w:pPr>
            <w:r>
              <w:rPr>
                <w:rFonts w:ascii="Aptos" w:hAnsi="Aptos"/>
                <w:sz w:val="18"/>
              </w:rPr>
              <w:t>Row 2 metadata detected</w:t>
            </w:r>
          </w:p>
        </w:tc>
        <w:tc>
          <w:tcPr>
            <w:tcW w:type="dxa" w:w="3456"/>
            <w:vAlign w:val="center"/>
            <w:tcMar>
              <w:top w:w="120" w:type="dxa"/>
              <w:start w:w="120" w:type="dxa"/>
              <w:bottom w:w="120" w:type="dxa"/>
              <w:end w:w="120" w:type="dxa"/>
            </w:tcMar>
          </w:tcPr>
          <w:p>
            <w:pPr>
              <w:spacing w:after="40" w:before="40"/>
            </w:pPr>
            <w:r>
              <w:rPr>
                <w:rFonts w:ascii="Aptos" w:hAnsi="Aptos"/>
                <w:sz w:val="18"/>
              </w:rPr>
              <w:t>Row is ignored from calculation and analysis.</w:t>
            </w:r>
          </w:p>
        </w:tc>
        <w:tc>
          <w:tcPr>
            <w:tcW w:type="dxa" w:w="3456"/>
            <w:vAlign w:val="center"/>
            <w:tcMar>
              <w:top w:w="120" w:type="dxa"/>
              <w:start w:w="120" w:type="dxa"/>
              <w:bottom w:w="120" w:type="dxa"/>
              <w:end w:w="120" w:type="dxa"/>
            </w:tcMar>
          </w:tcPr>
          <w:p>
            <w:pPr>
              <w:spacing w:after="40" w:before="40"/>
            </w:pPr>
            <w:r>
              <w:rPr>
                <w:rFonts w:ascii="Aptos" w:hAnsi="Aptos"/>
                <w:sz w:val="18"/>
              </w:rPr>
              <w:t>No action required unless actual data was placed in Row 2.</w:t>
            </w:r>
          </w:p>
        </w:tc>
      </w:tr>
      <w:tr>
        <w:tc>
          <w:tcPr>
            <w:tcW w:type="dxa" w:w="3456"/>
            <w:vAlign w:val="center"/>
            <w:tcMar>
              <w:top w:w="120" w:type="dxa"/>
              <w:start w:w="120" w:type="dxa"/>
              <w:bottom w:w="120" w:type="dxa"/>
              <w:end w:w="120" w:type="dxa"/>
            </w:tcMar>
          </w:tcPr>
          <w:p>
            <w:pPr>
              <w:spacing w:after="40" w:before="40"/>
            </w:pPr>
            <w:r>
              <w:rPr>
                <w:rFonts w:ascii="Aptos" w:hAnsi="Aptos"/>
                <w:sz w:val="18"/>
              </w:rPr>
              <w:t>.xlsb dependency missing</w:t>
            </w:r>
          </w:p>
        </w:tc>
        <w:tc>
          <w:tcPr>
            <w:tcW w:type="dxa" w:w="3456"/>
            <w:vAlign w:val="center"/>
            <w:tcMar>
              <w:top w:w="120" w:type="dxa"/>
              <w:start w:w="120" w:type="dxa"/>
              <w:bottom w:w="120" w:type="dxa"/>
              <w:end w:w="120" w:type="dxa"/>
            </w:tcMar>
          </w:tcPr>
          <w:p>
            <w:pPr>
              <w:spacing w:after="40" w:before="40"/>
            </w:pPr>
            <w:r>
              <w:rPr>
                <w:rFonts w:ascii="Aptos" w:hAnsi="Aptos"/>
                <w:sz w:val="18"/>
              </w:rPr>
              <w:t>The app shows guidance that pyxlsb is required.</w:t>
            </w:r>
          </w:p>
        </w:tc>
        <w:tc>
          <w:tcPr>
            <w:tcW w:type="dxa" w:w="3456"/>
            <w:vAlign w:val="center"/>
            <w:tcMar>
              <w:top w:w="120" w:type="dxa"/>
              <w:start w:w="120" w:type="dxa"/>
              <w:bottom w:w="120" w:type="dxa"/>
              <w:end w:w="120" w:type="dxa"/>
            </w:tcMar>
          </w:tcPr>
          <w:p>
            <w:pPr>
              <w:spacing w:after="40" w:before="40"/>
            </w:pPr>
            <w:r>
              <w:rPr>
                <w:rFonts w:ascii="Aptos" w:hAnsi="Aptos"/>
                <w:sz w:val="18"/>
              </w:rPr>
              <w:t>Install pyxlsb or provide .xlsx/.csv input.</w:t>
            </w:r>
          </w:p>
        </w:tc>
      </w:tr>
      <w:tr>
        <w:tc>
          <w:tcPr>
            <w:tcW w:type="dxa" w:w="3456"/>
            <w:vAlign w:val="center"/>
            <w:tcMar>
              <w:top w:w="120" w:type="dxa"/>
              <w:start w:w="120" w:type="dxa"/>
              <w:bottom w:w="120" w:type="dxa"/>
              <w:end w:w="120" w:type="dxa"/>
            </w:tcMar>
          </w:tcPr>
          <w:p>
            <w:pPr>
              <w:spacing w:after="40" w:before="40"/>
            </w:pPr>
            <w:r>
              <w:rPr>
                <w:rFonts w:ascii="Aptos" w:hAnsi="Aptos"/>
                <w:sz w:val="18"/>
              </w:rPr>
              <w:t>No catalog match</w:t>
            </w:r>
          </w:p>
        </w:tc>
        <w:tc>
          <w:tcPr>
            <w:tcW w:type="dxa" w:w="3456"/>
            <w:vAlign w:val="center"/>
            <w:tcMar>
              <w:top w:w="120" w:type="dxa"/>
              <w:start w:w="120" w:type="dxa"/>
              <w:bottom w:w="120" w:type="dxa"/>
              <w:end w:w="120" w:type="dxa"/>
            </w:tcMar>
          </w:tcPr>
          <w:p>
            <w:pPr>
              <w:spacing w:after="40" w:before="40"/>
            </w:pPr>
            <w:r>
              <w:rPr>
                <w:rFonts w:ascii="Aptos" w:hAnsi="Aptos"/>
                <w:sz w:val="18"/>
              </w:rPr>
              <w:t>Record is marked 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Review whether catalog update or source correction is needed.</w:t>
            </w:r>
          </w:p>
        </w:tc>
      </w:tr>
    </w:tbl>
    <w:p/>
    <w:p>
      <w:pPr>
        <w:jc w:val="center"/>
      </w:pPr>
      <w:r>
        <w:rPr>
          <w:b/>
          <w:color w:val="1F4E79"/>
        </w:rPr>
        <w:t>End of Document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Vikram Vishal</dc:creator>
  <keywords/>
  <dc:description>generated by python-docx</dc:description>
  <lastModifiedBy>Vikram Vishal</lastModifiedBy>
  <revision>1</revision>
  <dcterms:created xsi:type="dcterms:W3CDTF">2026-08-18T10:58:04.9667742Z</dcterms:created>
  <dcterms:modified xsi:type="dcterms:W3CDTF">2026-08-18T10:58:04.9667742Z</dcterms:modified>
  <category/>
</coreProperties>
</file>