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C8F" w:rsidRPr="00BC1C8F" w:rsidRDefault="00BC1C8F" w:rsidP="00BC1C8F">
      <w:pPr>
        <w:spacing w:before="100" w:beforeAutospacing="1" w:after="100" w:afterAutospacing="1"/>
        <w:outlineLvl w:val="0"/>
        <w:rPr>
          <w:rFonts w:ascii="Times" w:eastAsia="Times New Roman" w:hAnsi="Times" w:cs="Times New Roman"/>
          <w:b/>
          <w:bCs/>
          <w:kern w:val="36"/>
          <w:sz w:val="48"/>
          <w:szCs w:val="48"/>
        </w:rPr>
      </w:pPr>
      <w:r w:rsidRPr="00BC1C8F">
        <w:rPr>
          <w:rFonts w:ascii="Times" w:eastAsia="Times New Roman" w:hAnsi="Times" w:cs="Times New Roman"/>
          <w:b/>
          <w:bCs/>
          <w:kern w:val="36"/>
          <w:sz w:val="48"/>
          <w:szCs w:val="48"/>
        </w:rPr>
        <w:t>Our Deadened, Carbon-Soaked Seas</w:t>
      </w:r>
    </w:p>
    <w:p w:rsidR="00BC1C8F" w:rsidRPr="00BC1C8F" w:rsidRDefault="00BC1C8F" w:rsidP="00BC1C8F">
      <w:pPr>
        <w:numPr>
          <w:ilvl w:val="0"/>
          <w:numId w:val="1"/>
        </w:numPr>
        <w:spacing w:before="100" w:beforeAutospacing="1" w:after="100" w:afterAutospacing="1"/>
        <w:rPr>
          <w:rFonts w:ascii="Times" w:eastAsia="Times New Roman" w:hAnsi="Times" w:cs="Times New Roman"/>
          <w:sz w:val="20"/>
          <w:szCs w:val="20"/>
        </w:rPr>
      </w:pPr>
    </w:p>
    <w:p w:rsidR="00BC1C8F" w:rsidRPr="00BC1C8F" w:rsidRDefault="00BC1C8F" w:rsidP="00BC1C8F">
      <w:pPr>
        <w:numPr>
          <w:ilvl w:val="0"/>
          <w:numId w:val="2"/>
        </w:numPr>
        <w:spacing w:before="100" w:beforeAutospacing="1" w:after="100" w:afterAutospacing="1"/>
        <w:rPr>
          <w:rFonts w:ascii="Times" w:eastAsia="Times New Roman" w:hAnsi="Times" w:cs="Times New Roman"/>
          <w:sz w:val="20"/>
          <w:szCs w:val="20"/>
        </w:rPr>
      </w:pPr>
      <w:proofErr w:type="gramStart"/>
      <w:r w:rsidRPr="00BC1C8F">
        <w:rPr>
          <w:rFonts w:ascii="Times" w:eastAsia="Times New Roman" w:hAnsi="Symbol" w:cs="Times New Roman"/>
          <w:sz w:val="20"/>
          <w:szCs w:val="20"/>
        </w:rPr>
        <w:t></w:t>
      </w:r>
      <w:r w:rsidRPr="00BC1C8F">
        <w:rPr>
          <w:rFonts w:ascii="Times" w:eastAsia="Times New Roman" w:hAnsi="Times" w:cs="Times New Roman"/>
          <w:sz w:val="20"/>
          <w:szCs w:val="20"/>
        </w:rPr>
        <w:t xml:space="preserve">  </w:t>
      </w:r>
      <w:r w:rsidRPr="00BC1C8F">
        <w:rPr>
          <w:rFonts w:ascii="Times" w:eastAsia="Times New Roman" w:hAnsi="Symbol" w:cs="Times New Roman"/>
          <w:sz w:val="20"/>
          <w:szCs w:val="20"/>
        </w:rPr>
        <w:t></w:t>
      </w:r>
      <w:proofErr w:type="gramEnd"/>
      <w:r w:rsidRPr="00BC1C8F">
        <w:rPr>
          <w:rFonts w:ascii="Times" w:eastAsia="Times New Roman" w:hAnsi="Times" w:cs="Times New Roman"/>
          <w:sz w:val="20"/>
          <w:szCs w:val="20"/>
        </w:rPr>
        <w:t xml:space="preserve">  </w:t>
      </w:r>
    </w:p>
    <w:p w:rsidR="00BC1C8F" w:rsidRPr="00BC1C8F" w:rsidRDefault="00BC1C8F" w:rsidP="00BC1C8F">
      <w:pPr>
        <w:rPr>
          <w:rFonts w:ascii="Times" w:eastAsia="Times New Roman" w:hAnsi="Times" w:cs="Times New Roman"/>
          <w:sz w:val="20"/>
          <w:szCs w:val="20"/>
        </w:rPr>
      </w:pPr>
      <w:r w:rsidRPr="00BC1C8F">
        <w:rPr>
          <w:rFonts w:ascii="Times" w:eastAsia="Times New Roman" w:hAnsi="Times" w:cs="Times New Roman"/>
          <w:sz w:val="20"/>
          <w:szCs w:val="20"/>
        </w:rPr>
        <w:t>Alec Doherty</w:t>
      </w:r>
    </w:p>
    <w:p w:rsidR="00BC1C8F" w:rsidRPr="00BC1C8F" w:rsidRDefault="00BC1C8F" w:rsidP="00BC1C8F">
      <w:pPr>
        <w:spacing w:before="100" w:beforeAutospacing="1" w:after="100" w:afterAutospacing="1"/>
        <w:outlineLvl w:val="5"/>
        <w:rPr>
          <w:rFonts w:ascii="Times" w:eastAsia="Times New Roman" w:hAnsi="Times" w:cs="Times New Roman"/>
          <w:b/>
          <w:bCs/>
          <w:sz w:val="15"/>
          <w:szCs w:val="15"/>
        </w:rPr>
      </w:pPr>
      <w:r w:rsidRPr="00BC1C8F">
        <w:rPr>
          <w:rFonts w:ascii="Times" w:eastAsia="Times New Roman" w:hAnsi="Times" w:cs="Times New Roman"/>
          <w:b/>
          <w:bCs/>
          <w:sz w:val="15"/>
          <w:szCs w:val="15"/>
        </w:rPr>
        <w:t>By RICHARD W. SPINRAD and IAN BOYD</w:t>
      </w:r>
    </w:p>
    <w:p w:rsidR="00BC1C8F" w:rsidRPr="00BC1C8F" w:rsidRDefault="00BC1C8F" w:rsidP="00BC1C8F">
      <w:pPr>
        <w:spacing w:before="100" w:beforeAutospacing="1" w:after="100" w:afterAutospacing="1"/>
        <w:outlineLvl w:val="5"/>
        <w:rPr>
          <w:rFonts w:ascii="Times" w:eastAsia="Times New Roman" w:hAnsi="Times" w:cs="Times New Roman"/>
          <w:b/>
          <w:bCs/>
          <w:sz w:val="15"/>
          <w:szCs w:val="15"/>
        </w:rPr>
      </w:pPr>
      <w:r w:rsidRPr="00BC1C8F">
        <w:rPr>
          <w:rFonts w:ascii="Times" w:eastAsia="Times New Roman" w:hAnsi="Times" w:cs="Times New Roman"/>
          <w:b/>
          <w:bCs/>
          <w:sz w:val="15"/>
          <w:szCs w:val="15"/>
        </w:rPr>
        <w:t>October 15, 2015</w:t>
      </w:r>
    </w:p>
    <w:p w:rsidR="00BC1C8F" w:rsidRPr="00BC1C8F" w:rsidRDefault="00BC1C8F" w:rsidP="00BC1C8F">
      <w:pPr>
        <w:spacing w:before="100" w:beforeAutospacing="1" w:after="100" w:afterAutospacing="1"/>
        <w:rPr>
          <w:rFonts w:ascii="Times" w:hAnsi="Times" w:cs="Times New Roman"/>
          <w:sz w:val="20"/>
          <w:szCs w:val="20"/>
        </w:rPr>
      </w:pPr>
      <w:r w:rsidRPr="00BC1C8F">
        <w:rPr>
          <w:rFonts w:ascii="Times" w:hAnsi="Times" w:cs="Times New Roman"/>
          <w:sz w:val="20"/>
          <w:szCs w:val="20"/>
        </w:rPr>
        <w:t>Ocean and coastal waters around the world are beginning to tell a disturbing story. The seas, like a sponge, are absorbing increasing amounts of carbon dioxide from the atmosphere, so much so that the chemical balance of our oceans and coastal waters is changing and a growing threat to marine ecosystems. Over the past 200 years, the world’s seas have absorbed more than 150 billion metric tons of carbon from human activities. Currently, that’s a worldwide average of 15 pounds per person a week, enough to fill a coal train long enough to encircle the equator 13 times every year.</w:t>
      </w:r>
    </w:p>
    <w:p w:rsidR="00BC1C8F" w:rsidRPr="00BC1C8F" w:rsidRDefault="00BC1C8F" w:rsidP="00BC1C8F">
      <w:pPr>
        <w:spacing w:before="100" w:beforeAutospacing="1" w:after="100" w:afterAutospacing="1"/>
        <w:rPr>
          <w:rFonts w:ascii="Times" w:hAnsi="Times" w:cs="Times New Roman"/>
          <w:sz w:val="20"/>
          <w:szCs w:val="20"/>
        </w:rPr>
      </w:pPr>
      <w:r w:rsidRPr="00BC1C8F">
        <w:rPr>
          <w:rFonts w:ascii="Times" w:hAnsi="Times" w:cs="Times New Roman"/>
          <w:sz w:val="20"/>
          <w:szCs w:val="20"/>
        </w:rPr>
        <w:t>We can’t see this massive amount of carbon dioxide that’s going into the ocean, but it dissolves in seawater as carbonic acid, changing the water’s chemistry at a rate faster than seen for millions of years. Known as ocean acidification, this process makes it difficult for shellfish, corals and other marine organisms to grow, reproduce and build their shells and skeletons.</w:t>
      </w:r>
    </w:p>
    <w:p w:rsidR="00BC1C8F" w:rsidRPr="00BC1C8F" w:rsidRDefault="00BC1C8F" w:rsidP="00BC1C8F">
      <w:pPr>
        <w:spacing w:before="100" w:beforeAutospacing="1" w:after="100" w:afterAutospacing="1"/>
        <w:rPr>
          <w:rFonts w:ascii="Times" w:hAnsi="Times" w:cs="Times New Roman"/>
          <w:sz w:val="20"/>
          <w:szCs w:val="20"/>
        </w:rPr>
      </w:pPr>
      <w:r w:rsidRPr="00BC1C8F">
        <w:rPr>
          <w:rFonts w:ascii="Times" w:hAnsi="Times" w:cs="Times New Roman"/>
          <w:sz w:val="20"/>
          <w:szCs w:val="20"/>
        </w:rPr>
        <w:t xml:space="preserve">About 10 years ago, ocean acidification nearly collapsed the annual $117 million </w:t>
      </w:r>
      <w:proofErr w:type="gramStart"/>
      <w:r w:rsidRPr="00BC1C8F">
        <w:rPr>
          <w:rFonts w:ascii="Times" w:hAnsi="Times" w:cs="Times New Roman"/>
          <w:sz w:val="20"/>
          <w:szCs w:val="20"/>
        </w:rPr>
        <w:t>West</w:t>
      </w:r>
      <w:proofErr w:type="gramEnd"/>
      <w:r w:rsidRPr="00BC1C8F">
        <w:rPr>
          <w:rFonts w:ascii="Times" w:hAnsi="Times" w:cs="Times New Roman"/>
          <w:sz w:val="20"/>
          <w:szCs w:val="20"/>
        </w:rPr>
        <w:t xml:space="preserve"> Coast shellfish industry, which supports more than 3,000 jobs. Ocean currents pushed acidified water into coastal areas, making it difficult for baby oysters to use their limited energy to build protective shells. In effect, the crop was nearly destroyed.</w:t>
      </w:r>
    </w:p>
    <w:p w:rsidR="00BC1C8F" w:rsidRPr="00BC1C8F" w:rsidRDefault="00BC1C8F" w:rsidP="00BC1C8F">
      <w:pPr>
        <w:spacing w:before="100" w:beforeAutospacing="1" w:after="100" w:afterAutospacing="1"/>
        <w:rPr>
          <w:rFonts w:ascii="Times" w:hAnsi="Times" w:cs="Times New Roman"/>
          <w:sz w:val="20"/>
          <w:szCs w:val="20"/>
        </w:rPr>
      </w:pPr>
      <w:r w:rsidRPr="00BC1C8F">
        <w:rPr>
          <w:rFonts w:ascii="Times" w:hAnsi="Times" w:cs="Times New Roman"/>
          <w:sz w:val="20"/>
          <w:szCs w:val="20"/>
        </w:rPr>
        <w:t>Human health, too, is a major concern. In the laboratory, many harmful algal species produce more toxins and bloom faster in acidified waters. A similar response in the wild could harm people eating contaminated shellfish and sicken, even kill, fish and marine mammals such as sea lions.</w:t>
      </w:r>
    </w:p>
    <w:p w:rsidR="00BC1C8F" w:rsidRPr="00BC1C8F" w:rsidRDefault="00BC1C8F" w:rsidP="00BC1C8F">
      <w:pPr>
        <w:rPr>
          <w:rFonts w:ascii="Times" w:eastAsia="Times New Roman" w:hAnsi="Times" w:cs="Times New Roman"/>
          <w:sz w:val="20"/>
          <w:szCs w:val="20"/>
        </w:rPr>
      </w:pPr>
      <w:proofErr w:type="spellStart"/>
      <w:r w:rsidRPr="00BC1C8F">
        <w:rPr>
          <w:rFonts w:ascii="Times" w:eastAsia="Times New Roman" w:hAnsi="Times" w:cs="Times New Roman"/>
          <w:sz w:val="20"/>
          <w:szCs w:val="20"/>
        </w:rPr>
        <w:t>Pteropods</w:t>
      </w:r>
      <w:proofErr w:type="spellEnd"/>
      <w:r w:rsidRPr="00BC1C8F">
        <w:rPr>
          <w:rFonts w:ascii="Times" w:eastAsia="Times New Roman" w:hAnsi="Times" w:cs="Times New Roman"/>
          <w:sz w:val="20"/>
          <w:szCs w:val="20"/>
        </w:rPr>
        <w:t xml:space="preserve">, sometimes called sea butterflies, are a vital food source for Salmon and Herring. Left, a </w:t>
      </w:r>
      <w:proofErr w:type="spellStart"/>
      <w:r w:rsidRPr="00BC1C8F">
        <w:rPr>
          <w:rFonts w:ascii="Times" w:eastAsia="Times New Roman" w:hAnsi="Times" w:cs="Times New Roman"/>
          <w:sz w:val="20"/>
          <w:szCs w:val="20"/>
        </w:rPr>
        <w:t>pteropod</w:t>
      </w:r>
      <w:proofErr w:type="spellEnd"/>
      <w:r w:rsidRPr="00BC1C8F">
        <w:rPr>
          <w:rFonts w:ascii="Times" w:eastAsia="Times New Roman" w:hAnsi="Times" w:cs="Times New Roman"/>
          <w:sz w:val="20"/>
          <w:szCs w:val="20"/>
        </w:rPr>
        <w:t xml:space="preserve"> that has lived in normal waters in a laboratory for six days, and, on the right, a </w:t>
      </w:r>
      <w:proofErr w:type="spellStart"/>
      <w:r w:rsidRPr="00BC1C8F">
        <w:rPr>
          <w:rFonts w:ascii="Times" w:eastAsia="Times New Roman" w:hAnsi="Times" w:cs="Times New Roman"/>
          <w:sz w:val="20"/>
          <w:szCs w:val="20"/>
        </w:rPr>
        <w:t>pteropod</w:t>
      </w:r>
      <w:proofErr w:type="spellEnd"/>
      <w:r w:rsidRPr="00BC1C8F">
        <w:rPr>
          <w:rFonts w:ascii="Times" w:eastAsia="Times New Roman" w:hAnsi="Times" w:cs="Times New Roman"/>
          <w:sz w:val="20"/>
          <w:szCs w:val="20"/>
        </w:rPr>
        <w:t xml:space="preserve"> showing the effects of living in acidified water for the same time period. The white lines indicate shell dissolution, showing why ocean acidification is often called "osteoporosis of the sea."</w:t>
      </w:r>
    </w:p>
    <w:p w:rsidR="00BC1C8F" w:rsidRPr="00BC1C8F" w:rsidRDefault="00BC1C8F" w:rsidP="00BC1C8F">
      <w:pPr>
        <w:rPr>
          <w:rFonts w:ascii="Times" w:eastAsia="Times New Roman" w:hAnsi="Times" w:cs="Times New Roman"/>
          <w:sz w:val="20"/>
          <w:szCs w:val="20"/>
        </w:rPr>
      </w:pPr>
      <w:r w:rsidRPr="00BC1C8F">
        <w:rPr>
          <w:rFonts w:ascii="Times" w:eastAsia="Times New Roman" w:hAnsi="Times" w:cs="Times New Roman"/>
          <w:sz w:val="20"/>
          <w:szCs w:val="20"/>
        </w:rPr>
        <w:t>National Oceanic and Atmospheric Administration</w:t>
      </w:r>
    </w:p>
    <w:p w:rsidR="00BC1C8F" w:rsidRPr="00BC1C8F" w:rsidRDefault="00BC1C8F" w:rsidP="00BC1C8F">
      <w:pPr>
        <w:spacing w:before="100" w:beforeAutospacing="1" w:after="100" w:afterAutospacing="1"/>
        <w:rPr>
          <w:rFonts w:ascii="Times" w:hAnsi="Times" w:cs="Times New Roman"/>
          <w:sz w:val="20"/>
          <w:szCs w:val="20"/>
        </w:rPr>
      </w:pPr>
      <w:r w:rsidRPr="00BC1C8F">
        <w:rPr>
          <w:rFonts w:ascii="Times" w:hAnsi="Times" w:cs="Times New Roman"/>
          <w:sz w:val="20"/>
          <w:szCs w:val="20"/>
        </w:rPr>
        <w:t xml:space="preserve">Increasing acidity is hitting our waters along with other stressors. The ocean is warming; in many places the oxygen critical to marine life is decreasing; pollution from plastics and other materials is pervasive; and in general we overexploit the resources of the ocean. Each stressor is a problem, but all of them affecting the oceans at one time </w:t>
      </w:r>
      <w:proofErr w:type="gramStart"/>
      <w:r w:rsidRPr="00BC1C8F">
        <w:rPr>
          <w:rFonts w:ascii="Times" w:hAnsi="Times" w:cs="Times New Roman"/>
          <w:sz w:val="20"/>
          <w:szCs w:val="20"/>
        </w:rPr>
        <w:t>is</w:t>
      </w:r>
      <w:proofErr w:type="gramEnd"/>
      <w:r w:rsidRPr="00BC1C8F">
        <w:rPr>
          <w:rFonts w:ascii="Times" w:hAnsi="Times" w:cs="Times New Roman"/>
          <w:sz w:val="20"/>
          <w:szCs w:val="20"/>
        </w:rPr>
        <w:t xml:space="preserve"> cause for great concern. For both the developing and developed world, the implications for food security, economies at all levels, and vital goods and services are immense.</w:t>
      </w:r>
    </w:p>
    <w:p w:rsidR="00BC1C8F" w:rsidRPr="00BC1C8F" w:rsidRDefault="00BC1C8F" w:rsidP="00BC1C8F">
      <w:pPr>
        <w:shd w:val="clear" w:color="auto" w:fill="DDDDDD"/>
        <w:rPr>
          <w:rFonts w:ascii="Helvetica" w:eastAsia="Times New Roman" w:hAnsi="Helvetica" w:cs="Times New Roman"/>
          <w:b/>
          <w:bCs/>
          <w:color w:val="000000"/>
          <w:sz w:val="23"/>
          <w:szCs w:val="23"/>
        </w:rPr>
      </w:pPr>
      <w:r>
        <w:rPr>
          <w:rFonts w:ascii="Helvetica" w:eastAsia="Times New Roman" w:hAnsi="Helvetica" w:cs="Times New Roman"/>
          <w:b/>
          <w:bCs/>
          <w:noProof/>
          <w:color w:val="000000"/>
          <w:sz w:val="23"/>
          <w:szCs w:val="23"/>
        </w:rPr>
        <w:drawing>
          <wp:inline distT="0" distB="0" distL="0" distR="0">
            <wp:extent cx="605155" cy="605155"/>
            <wp:effectExtent l="0" t="0" r="4445" b="4445"/>
            <wp:docPr id="1" name="Picture 1" descr="http://native.sharethrough.com/assets/non-YT-play-squa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ative.sharethrough.com/assets/non-YT-play-squar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5155" cy="605155"/>
                    </a:xfrm>
                    <a:prstGeom prst="rect">
                      <a:avLst/>
                    </a:prstGeom>
                    <a:noFill/>
                    <a:ln>
                      <a:noFill/>
                    </a:ln>
                  </pic:spPr>
                </pic:pic>
              </a:graphicData>
            </a:graphic>
          </wp:inline>
        </w:drawing>
      </w:r>
    </w:p>
    <w:p w:rsidR="00BC1C8F" w:rsidRPr="00BC1C8F" w:rsidRDefault="00BC1C8F" w:rsidP="00BC1C8F">
      <w:pPr>
        <w:shd w:val="clear" w:color="auto" w:fill="DDDDDD"/>
        <w:rPr>
          <w:rFonts w:ascii="Helvetica" w:eastAsia="Times New Roman" w:hAnsi="Helvetica" w:cs="Times New Roman"/>
          <w:b/>
          <w:bCs/>
          <w:color w:val="000000"/>
          <w:sz w:val="23"/>
          <w:szCs w:val="23"/>
        </w:rPr>
      </w:pPr>
      <w:r w:rsidRPr="00BC1C8F">
        <w:rPr>
          <w:rFonts w:ascii="Helvetica" w:eastAsia="Times New Roman" w:hAnsi="Helvetica" w:cs="Times New Roman"/>
          <w:b/>
          <w:bCs/>
          <w:color w:val="000000"/>
          <w:sz w:val="23"/>
          <w:szCs w:val="23"/>
        </w:rPr>
        <w:t>You'll Be Surprised by How People Define Success. So Why Does the Dictionary Still Have an Outdated Definition?</w:t>
      </w:r>
    </w:p>
    <w:p w:rsidR="00BC1C8F" w:rsidRPr="00BC1C8F" w:rsidRDefault="00BC1C8F" w:rsidP="00BC1C8F">
      <w:pPr>
        <w:shd w:val="clear" w:color="auto" w:fill="DDDDDD"/>
        <w:rPr>
          <w:rFonts w:ascii="Helvetica" w:eastAsia="Times New Roman" w:hAnsi="Helvetica" w:cs="Times New Roman"/>
          <w:color w:val="333333"/>
          <w:sz w:val="20"/>
          <w:szCs w:val="20"/>
        </w:rPr>
      </w:pPr>
      <w:r w:rsidRPr="00BC1C8F">
        <w:rPr>
          <w:rFonts w:ascii="Helvetica" w:eastAsia="Times New Roman" w:hAnsi="Helvetica" w:cs="Times New Roman"/>
          <w:color w:val="333333"/>
          <w:sz w:val="20"/>
          <w:szCs w:val="20"/>
        </w:rPr>
        <w:lastRenderedPageBreak/>
        <w:t xml:space="preserve">Advertisement by </w:t>
      </w:r>
      <w:proofErr w:type="spellStart"/>
      <w:r w:rsidRPr="00BC1C8F">
        <w:rPr>
          <w:rFonts w:ascii="Helvetica" w:eastAsia="Times New Roman" w:hAnsi="Helvetica" w:cs="Times New Roman"/>
          <w:color w:val="333333"/>
          <w:sz w:val="20"/>
          <w:szCs w:val="20"/>
        </w:rPr>
        <w:t>Strayer</w:t>
      </w:r>
      <w:proofErr w:type="spellEnd"/>
      <w:r w:rsidRPr="00BC1C8F">
        <w:rPr>
          <w:rFonts w:ascii="Helvetica" w:eastAsia="Times New Roman" w:hAnsi="Helvetica" w:cs="Times New Roman"/>
          <w:color w:val="333333"/>
          <w:sz w:val="20"/>
          <w:szCs w:val="20"/>
        </w:rPr>
        <w:t xml:space="preserve"> University </w:t>
      </w:r>
    </w:p>
    <w:p w:rsidR="00BC1C8F" w:rsidRPr="00BC1C8F" w:rsidRDefault="00BC1C8F" w:rsidP="00BC1C8F">
      <w:pPr>
        <w:spacing w:before="100" w:beforeAutospacing="1" w:after="100" w:afterAutospacing="1"/>
        <w:rPr>
          <w:rFonts w:ascii="Times" w:hAnsi="Times" w:cs="Times New Roman"/>
          <w:sz w:val="20"/>
          <w:szCs w:val="20"/>
        </w:rPr>
      </w:pPr>
      <w:r w:rsidRPr="00BC1C8F">
        <w:rPr>
          <w:rFonts w:ascii="Times" w:hAnsi="Times" w:cs="Times New Roman"/>
          <w:sz w:val="20"/>
          <w:szCs w:val="20"/>
        </w:rPr>
        <w:t>This year, the first nationwide study showing the vulnerability of the $1 billion U.S. shellfish industry to ocean acidification revealed a considerable list of at-risk areas. In addition to the Pacific Northwest, these areas include Long Island Sound, Narragansett Bay, Chesapeake Bay, the Gulf of Mexico, and areas off Maine and Massachusetts. Already at risk are Alaska’s fisheries, which account for nearly 60 percent of the United States commercial fish catch and support more than 100,000 jobs.</w:t>
      </w:r>
    </w:p>
    <w:p w:rsidR="00BC1C8F" w:rsidRPr="00BC1C8F" w:rsidRDefault="00BC1C8F" w:rsidP="00BC1C8F">
      <w:pPr>
        <w:spacing w:before="100" w:beforeAutospacing="1" w:after="100" w:afterAutospacing="1"/>
        <w:rPr>
          <w:rFonts w:ascii="Times" w:hAnsi="Times" w:cs="Times New Roman"/>
          <w:sz w:val="20"/>
          <w:szCs w:val="20"/>
        </w:rPr>
      </w:pPr>
      <w:r w:rsidRPr="00BC1C8F">
        <w:rPr>
          <w:rFonts w:ascii="Times" w:hAnsi="Times" w:cs="Times New Roman"/>
          <w:sz w:val="20"/>
          <w:szCs w:val="20"/>
        </w:rPr>
        <w:t>Ocean acidification is weakening coral structures in the Caribbean and in cold-water coral reefs found in the deep waters off Scotland and Norway. In the past three decades, the number of living corals covering the Great Barrier Reef has been cut in half, reducing critical habitat for fish and the resilience of the entire reef system. Dramatic change is also apparent in the Arctic, where the frigid waters can hold so much carbon dioxide that nearby shelled creatures can dissolve in the corrosive conditions, affecting food sources for indigenous people, fish, birds and marine mammals. Clear pictures of the magnitude of changes in such remote ocean regions are sparse. To better understand these and other hotspots, more regions must be studied.</w:t>
      </w:r>
    </w:p>
    <w:p w:rsidR="00BC1C8F" w:rsidRPr="00BC1C8F" w:rsidRDefault="00BC1C8F" w:rsidP="00BC1C8F">
      <w:pPr>
        <w:spacing w:before="100" w:beforeAutospacing="1" w:after="100" w:afterAutospacing="1"/>
        <w:rPr>
          <w:rFonts w:ascii="Times" w:hAnsi="Times" w:cs="Times New Roman"/>
          <w:sz w:val="20"/>
          <w:szCs w:val="20"/>
        </w:rPr>
      </w:pPr>
      <w:r w:rsidRPr="00BC1C8F">
        <w:rPr>
          <w:rFonts w:ascii="Times" w:hAnsi="Times" w:cs="Times New Roman"/>
          <w:sz w:val="20"/>
          <w:szCs w:val="20"/>
        </w:rPr>
        <w:t>We cannot yet predict exactly how ocean acidification will affect connections among the world’s many different marine organisms, but we do know the consequences will be profound. Research already points to the unnatural behavior of coral clownfish in an acidified environment. These fish wander farther from their natural protection, making them more vulnerable to predators. We have yet to learn how salmon and other commercially important fish will adapt as acidification erodes their food supply, especially since some of the most vulnerable species are the small, simple life forms that juvenile salmon and other fish depend on. There may be cascading impacts that we don’t yet fully understand. Acidification won’t make seawater dangerous for swimming, but it will upset the balance among the multitudes of microscopic life found in every drop of seawater. Such changes will almost certainly affect seafood supplies and the ocean’s ability to store pollutants, including future carbon emissions.</w:t>
      </w:r>
    </w:p>
    <w:p w:rsidR="00BC1C8F" w:rsidRPr="00BC1C8F" w:rsidRDefault="00BC1C8F" w:rsidP="00BC1C8F">
      <w:pPr>
        <w:spacing w:before="100" w:beforeAutospacing="1" w:after="100" w:afterAutospacing="1"/>
        <w:rPr>
          <w:rFonts w:ascii="Times" w:hAnsi="Times" w:cs="Times New Roman"/>
          <w:sz w:val="20"/>
          <w:szCs w:val="20"/>
        </w:rPr>
      </w:pPr>
      <w:r w:rsidRPr="00BC1C8F">
        <w:rPr>
          <w:rFonts w:ascii="Times" w:hAnsi="Times" w:cs="Times New Roman"/>
          <w:sz w:val="20"/>
          <w:szCs w:val="20"/>
        </w:rPr>
        <w:t>To understand where the challenges lie, we need better ocean-measuring capability, linked with improved modeling of marine ecological systems. Smart investments in monitoring and observing are critical to building resilience and hedging risks that can directly affect economies at all levels. There is urgency to such investments. The U.S. National Oceanic and Atmospheric Administration conducts round-the-clock monitoring of global CO2. The rate of increase has never been higher than during the past three years, accelerating the ocean acidification process.</w:t>
      </w:r>
    </w:p>
    <w:p w:rsidR="00BC1C8F" w:rsidRPr="00BC1C8F" w:rsidRDefault="00BC1C8F" w:rsidP="00BC1C8F">
      <w:pPr>
        <w:spacing w:before="100" w:beforeAutospacing="1" w:after="100" w:afterAutospacing="1"/>
        <w:rPr>
          <w:rFonts w:ascii="Times" w:hAnsi="Times" w:cs="Times New Roman"/>
          <w:sz w:val="20"/>
          <w:szCs w:val="20"/>
        </w:rPr>
      </w:pPr>
      <w:r w:rsidRPr="00BC1C8F">
        <w:rPr>
          <w:rFonts w:ascii="Times" w:hAnsi="Times" w:cs="Times New Roman"/>
          <w:sz w:val="20"/>
          <w:szCs w:val="20"/>
        </w:rPr>
        <w:t>Both the United States and Britain recognize that rising CO2 and the production of other greenhouse gases have widespread consequences and have called for strong action to reduce carbon emissions. We are pleased that representatives of our two nations help lead the pioneering Global Ocean Acidification Observing Network, a collaboration of scientists from 30 countries. This network is based on the premise that we can’t manage what we don’t measure. It’s designed to provide the basis for robust forecasting by integrating existing observations from unmanned vehicles, research vessels, volunteer observing ships and many more assets.</w:t>
      </w:r>
    </w:p>
    <w:p w:rsidR="00BC1C8F" w:rsidRPr="00BC1C8F" w:rsidRDefault="00BC1C8F" w:rsidP="00BC1C8F">
      <w:pPr>
        <w:spacing w:before="100" w:beforeAutospacing="1" w:after="100" w:afterAutospacing="1"/>
        <w:rPr>
          <w:rFonts w:ascii="Times" w:hAnsi="Times" w:cs="Times New Roman"/>
          <w:sz w:val="20"/>
          <w:szCs w:val="20"/>
        </w:rPr>
      </w:pPr>
      <w:r w:rsidRPr="00BC1C8F">
        <w:rPr>
          <w:rFonts w:ascii="Times" w:hAnsi="Times" w:cs="Times New Roman"/>
          <w:sz w:val="20"/>
          <w:szCs w:val="20"/>
        </w:rPr>
        <w:t xml:space="preserve">The new network will build on the success of the American and British teams that recently came in first and second in the Wendy Schmidt Ocean Health XPRIZE by developing affordable, accurate sensor technology. Such technology will help coastal countries around the world obtain the environmental information required to underpin sound policy and build community and global resilience. Already oyster hatcheries on the U.S. West Coast are working with scientists to monitor water quality and </w:t>
      </w:r>
      <w:proofErr w:type="gramStart"/>
      <w:r w:rsidRPr="00BC1C8F">
        <w:rPr>
          <w:rFonts w:ascii="Times" w:hAnsi="Times" w:cs="Times New Roman"/>
          <w:sz w:val="20"/>
          <w:szCs w:val="20"/>
        </w:rPr>
        <w:t>adapt</w:t>
      </w:r>
      <w:proofErr w:type="gramEnd"/>
      <w:r w:rsidRPr="00BC1C8F">
        <w:rPr>
          <w:rFonts w:ascii="Times" w:hAnsi="Times" w:cs="Times New Roman"/>
          <w:sz w:val="20"/>
          <w:szCs w:val="20"/>
        </w:rPr>
        <w:t xml:space="preserve"> to ocean acidification so baby oysters can survive. And while ocean acidification is a global concern, inroads are occurring at the local scale, encouraging control, for example, of nutrient pollution that can exacerbate acidification.</w:t>
      </w:r>
    </w:p>
    <w:p w:rsidR="00BC1C8F" w:rsidRPr="00BC1C8F" w:rsidRDefault="00BC1C8F" w:rsidP="00BC1C8F">
      <w:pPr>
        <w:spacing w:before="100" w:beforeAutospacing="1" w:after="100" w:afterAutospacing="1"/>
        <w:rPr>
          <w:rFonts w:ascii="Times" w:hAnsi="Times" w:cs="Times New Roman"/>
          <w:sz w:val="20"/>
          <w:szCs w:val="20"/>
        </w:rPr>
      </w:pPr>
      <w:r w:rsidRPr="00BC1C8F">
        <w:rPr>
          <w:rFonts w:ascii="Times" w:hAnsi="Times" w:cs="Times New Roman"/>
          <w:sz w:val="20"/>
          <w:szCs w:val="20"/>
        </w:rPr>
        <w:t xml:space="preserve">When it comes to the health of the sea, we are all stakeholders. The ocean is a harbinger of our own </w:t>
      </w:r>
      <w:proofErr w:type="gramStart"/>
      <w:r w:rsidRPr="00BC1C8F">
        <w:rPr>
          <w:rFonts w:ascii="Times" w:hAnsi="Times" w:cs="Times New Roman"/>
          <w:sz w:val="20"/>
          <w:szCs w:val="20"/>
        </w:rPr>
        <w:t>well-being</w:t>
      </w:r>
      <w:proofErr w:type="gramEnd"/>
      <w:r w:rsidRPr="00BC1C8F">
        <w:rPr>
          <w:rFonts w:ascii="Times" w:hAnsi="Times" w:cs="Times New Roman"/>
          <w:sz w:val="20"/>
          <w:szCs w:val="20"/>
        </w:rPr>
        <w:t xml:space="preserve"> and the resilience and economic viability of our planet. We ignore the risks of ocean acidification at our own peril, and that of future generations.</w:t>
      </w:r>
    </w:p>
    <w:p w:rsidR="00BC1C8F" w:rsidRPr="00BC1C8F" w:rsidRDefault="00BC1C8F" w:rsidP="00BC1C8F">
      <w:pPr>
        <w:spacing w:before="100" w:beforeAutospacing="1" w:after="100" w:afterAutospacing="1"/>
        <w:rPr>
          <w:rFonts w:ascii="Times" w:hAnsi="Times" w:cs="Times New Roman"/>
          <w:sz w:val="20"/>
          <w:szCs w:val="20"/>
        </w:rPr>
      </w:pPr>
      <w:r w:rsidRPr="00BC1C8F">
        <w:rPr>
          <w:rFonts w:ascii="Times" w:hAnsi="Times" w:cs="Times New Roman"/>
          <w:sz w:val="20"/>
          <w:szCs w:val="20"/>
        </w:rPr>
        <w:t xml:space="preserve">Richard W. </w:t>
      </w:r>
      <w:proofErr w:type="spellStart"/>
      <w:r w:rsidRPr="00BC1C8F">
        <w:rPr>
          <w:rFonts w:ascii="Times" w:hAnsi="Times" w:cs="Times New Roman"/>
          <w:sz w:val="20"/>
          <w:szCs w:val="20"/>
        </w:rPr>
        <w:t>Spinrad</w:t>
      </w:r>
      <w:proofErr w:type="spellEnd"/>
      <w:r w:rsidRPr="00BC1C8F">
        <w:rPr>
          <w:rFonts w:ascii="Times" w:hAnsi="Times" w:cs="Times New Roman"/>
          <w:sz w:val="20"/>
          <w:szCs w:val="20"/>
        </w:rPr>
        <w:t xml:space="preserve"> is the chief scientist of the U.S. National Oceanic and Atmospheric Administration. Ian Boyd is the chief scientific adviser to the British government’s Department of Environment, Food and Rural Affairs.</w:t>
      </w:r>
    </w:p>
    <w:p w:rsidR="00960448" w:rsidRDefault="00960448"/>
    <w:p w:rsidR="00BC1C8F" w:rsidRDefault="00BC1C8F"/>
    <w:p w:rsidR="00BC1C8F" w:rsidRDefault="00BC1C8F"/>
    <w:p w:rsidR="00BC1C8F" w:rsidRDefault="00BC1C8F"/>
    <w:p w:rsidR="00BC1C8F" w:rsidRDefault="00BC1C8F"/>
    <w:p w:rsidR="00BC1C8F" w:rsidRDefault="00BC1C8F"/>
    <w:p w:rsidR="00BC1C8F" w:rsidRDefault="00BC1C8F"/>
    <w:p w:rsidR="00BC1C8F" w:rsidRDefault="00BC1C8F"/>
    <w:p w:rsidR="00BC1C8F" w:rsidRDefault="00BC1C8F"/>
    <w:p w:rsidR="00BC1C8F" w:rsidRDefault="00BC1C8F"/>
    <w:p w:rsidR="00BC1C8F" w:rsidRDefault="00BC1C8F"/>
    <w:p w:rsidR="00BC1C8F" w:rsidRDefault="00BC1C8F"/>
    <w:p w:rsidR="00BC1C8F" w:rsidRDefault="00BC1C8F"/>
    <w:p w:rsidR="00BC1C8F" w:rsidRDefault="00BC1C8F"/>
    <w:p w:rsidR="00BC1C8F" w:rsidRDefault="00BC1C8F"/>
    <w:p w:rsidR="00BC1C8F" w:rsidRDefault="00BC1C8F"/>
    <w:p w:rsidR="00BC1C8F" w:rsidRDefault="00BC1C8F"/>
    <w:p w:rsidR="00BC1C8F" w:rsidRDefault="00BC1C8F"/>
    <w:p w:rsidR="00BC1C8F" w:rsidRDefault="00BC1C8F"/>
    <w:p w:rsidR="00BC1C8F" w:rsidRDefault="00BC1C8F"/>
    <w:p w:rsidR="00BC1C8F" w:rsidRDefault="00BC1C8F"/>
    <w:p w:rsidR="00BC1C8F" w:rsidRDefault="00BC1C8F"/>
    <w:p w:rsidR="00BC1C8F" w:rsidRDefault="00BC1C8F"/>
    <w:p w:rsidR="00BC1C8F" w:rsidRDefault="00BC1C8F"/>
    <w:p w:rsidR="00BC1C8F" w:rsidRDefault="00BC1C8F"/>
    <w:p w:rsidR="00BC1C8F" w:rsidRDefault="00BC1C8F"/>
    <w:p w:rsidR="00BC1C8F" w:rsidRDefault="00BC1C8F"/>
    <w:p w:rsidR="00BC1C8F" w:rsidRDefault="00BC1C8F"/>
    <w:p w:rsidR="00BC1C8F" w:rsidRDefault="00BC1C8F"/>
    <w:p w:rsidR="00BC1C8F" w:rsidRDefault="00BC1C8F"/>
    <w:p w:rsidR="00BC1C8F" w:rsidRDefault="00BC1C8F"/>
    <w:p w:rsidR="00BC1C8F" w:rsidRDefault="00BC1C8F"/>
    <w:p w:rsidR="00BC1C8F" w:rsidRDefault="00BC1C8F"/>
    <w:p w:rsidR="00BC1C8F" w:rsidRDefault="00BC1C8F"/>
    <w:p w:rsidR="00BC1C8F" w:rsidRDefault="00BC1C8F"/>
    <w:p w:rsidR="00BC1C8F" w:rsidRDefault="00BC1C8F"/>
    <w:p w:rsidR="00BC1C8F" w:rsidRDefault="00BC1C8F"/>
    <w:p w:rsidR="00BC1C8F" w:rsidRDefault="00BC1C8F"/>
    <w:p w:rsidR="00BC1C8F" w:rsidRDefault="00BC1C8F"/>
    <w:p w:rsidR="00BC1C8F" w:rsidRDefault="00BC1C8F" w:rsidP="00BC1C8F">
      <w:pPr>
        <w:pStyle w:val="Heading1"/>
        <w:rPr>
          <w:rFonts w:eastAsia="Times New Roman" w:cs="Times New Roman"/>
        </w:rPr>
      </w:pPr>
      <w:r>
        <w:rPr>
          <w:rFonts w:eastAsia="Times New Roman" w:cs="Times New Roman"/>
        </w:rPr>
        <w:t>Rhodium slips on lower offers; sources disagree on VW impact</w:t>
      </w:r>
    </w:p>
    <w:p w:rsidR="00BC1C8F" w:rsidRDefault="00BC1C8F" w:rsidP="00BC1C8F">
      <w:pPr>
        <w:pStyle w:val="NormalWeb"/>
      </w:pPr>
      <w:r>
        <w:t>Washington (</w:t>
      </w:r>
      <w:proofErr w:type="spellStart"/>
      <w:r>
        <w:t>Platts</w:t>
      </w:r>
      <w:proofErr w:type="spellEnd"/>
      <w:r>
        <w:t>)--25 Sep 2015 451 pm EDT/2051 GMT</w:t>
      </w:r>
    </w:p>
    <w:p w:rsidR="00BC1C8F" w:rsidRDefault="00BC1C8F" w:rsidP="00BC1C8F">
      <w:pPr>
        <w:rPr>
          <w:rFonts w:eastAsia="Times New Roman" w:cs="Times New Roman"/>
        </w:rPr>
      </w:pPr>
      <w:r>
        <w:rPr>
          <w:rFonts w:eastAsia="Times New Roman" w:cs="Times New Roman"/>
        </w:rPr>
        <w:br/>
      </w:r>
    </w:p>
    <w:p w:rsidR="00BC1C8F" w:rsidRDefault="00BC1C8F" w:rsidP="00BC1C8F">
      <w:pPr>
        <w:pStyle w:val="NormalWeb"/>
        <w:spacing w:after="240" w:afterAutospacing="0"/>
      </w:pPr>
      <w:r>
        <w:t>Rhodium price dipped this week as more metal was offered to the market in the wake of a scandal involving German automaker Volkswagen and fears that diesel-powered vehicles could be phase out.</w:t>
      </w:r>
      <w:r>
        <w:br/>
      </w:r>
      <w:r>
        <w:br/>
        <w:t xml:space="preserve">The </w:t>
      </w:r>
      <w:proofErr w:type="spellStart"/>
      <w:r>
        <w:t>Platts</w:t>
      </w:r>
      <w:proofErr w:type="spellEnd"/>
      <w:r>
        <w:t xml:space="preserve"> New York Dealer rhodium price spread slipped to $715-$765/</w:t>
      </w:r>
      <w:proofErr w:type="spellStart"/>
      <w:r>
        <w:t>oz</w:t>
      </w:r>
      <w:proofErr w:type="spellEnd"/>
      <w:r>
        <w:t xml:space="preserve"> from $730-$780/</w:t>
      </w:r>
      <w:proofErr w:type="spellStart"/>
      <w:r>
        <w:t>oz</w:t>
      </w:r>
      <w:proofErr w:type="spellEnd"/>
      <w:r>
        <w:t xml:space="preserve"> last week, thanks largely to selling at lower levels that occurred Wednesday and Thursday.</w:t>
      </w:r>
      <w:r>
        <w:br/>
      </w:r>
      <w:r>
        <w:br/>
        <w:t>European refining majors Johnson Matthey of the UK and Engelhard Materials Services (a division of BASF) of Germany lowered their base prices on Wednesday to $750 from $765 at the start of the week. But both refiners closed the week at $760 on an uptick of industrial buying from Asia.</w:t>
      </w:r>
      <w:r>
        <w:br/>
      </w:r>
      <w:r>
        <w:br/>
        <w:t>Some trade sources attributed the decline to more material entering the market following news that Volkswagen may have installed software in its diesel-powered vehicles that obscures accurate emissions readings.</w:t>
      </w:r>
    </w:p>
    <w:p w:rsidR="00BC1C8F" w:rsidRDefault="00BC1C8F" w:rsidP="00BC1C8F">
      <w:pPr>
        <w:pStyle w:val="NormalWeb"/>
      </w:pPr>
      <w:r>
        <w:rPr>
          <w:i/>
          <w:iCs/>
        </w:rPr>
        <w:t>Article continues below...</w:t>
      </w:r>
      <w:r>
        <w:t xml:space="preserve"> </w:t>
      </w:r>
    </w:p>
    <w:tbl>
      <w:tblPr>
        <w:tblW w:w="5000" w:type="pct"/>
        <w:tblCellSpacing w:w="0" w:type="dxa"/>
        <w:tblCellMar>
          <w:top w:w="100" w:type="dxa"/>
          <w:left w:w="100" w:type="dxa"/>
          <w:bottom w:w="100" w:type="dxa"/>
          <w:right w:w="100" w:type="dxa"/>
        </w:tblCellMar>
        <w:tblLook w:val="04A0" w:firstRow="1" w:lastRow="0" w:firstColumn="1" w:lastColumn="0" w:noHBand="0" w:noVBand="1"/>
      </w:tblPr>
      <w:tblGrid>
        <w:gridCol w:w="456"/>
        <w:gridCol w:w="4984"/>
        <w:gridCol w:w="3400"/>
      </w:tblGrid>
      <w:tr w:rsidR="00BC1C8F" w:rsidTr="00BC1C8F">
        <w:trPr>
          <w:trHeight w:val="400"/>
          <w:tblCellSpacing w:w="0" w:type="dxa"/>
        </w:trPr>
        <w:tc>
          <w:tcPr>
            <w:tcW w:w="0" w:type="auto"/>
            <w:gridSpan w:val="3"/>
            <w:vAlign w:val="center"/>
            <w:hideMark/>
          </w:tcPr>
          <w:p w:rsidR="00BC1C8F" w:rsidRDefault="00BC1C8F">
            <w:pPr>
              <w:rPr>
                <w:rFonts w:ascii="Times" w:eastAsia="Times New Roman" w:hAnsi="Times" w:cs="Times New Roman"/>
              </w:rPr>
            </w:pPr>
            <w:r>
              <w:rPr>
                <w:rFonts w:eastAsia="Times New Roman" w:cs="Times New Roman"/>
              </w:rPr>
              <w:pict>
                <v:rect id="_x0000_i1027" style="width:0;height:1pt" o:hralign="center" o:hrstd="t" o:hr="t" fillcolor="#aaa" stroked="f"/>
              </w:pict>
            </w:r>
          </w:p>
        </w:tc>
      </w:tr>
      <w:tr w:rsidR="00BC1C8F" w:rsidTr="00BC1C8F">
        <w:trPr>
          <w:trHeight w:val="500"/>
          <w:tblCellSpacing w:w="0" w:type="dxa"/>
        </w:trPr>
        <w:tc>
          <w:tcPr>
            <w:tcW w:w="0" w:type="auto"/>
            <w:gridSpan w:val="2"/>
            <w:hideMark/>
          </w:tcPr>
          <w:p w:rsidR="00BC1C8F" w:rsidRDefault="00BC1C8F">
            <w:pPr>
              <w:rPr>
                <w:rFonts w:ascii="Times" w:eastAsia="Times New Roman" w:hAnsi="Times" w:cs="Times New Roman"/>
              </w:rPr>
            </w:pPr>
            <w:r>
              <w:rPr>
                <w:rStyle w:val="Strong"/>
                <w:rFonts w:eastAsia="Times New Roman" w:cs="Times New Roman"/>
              </w:rPr>
              <w:t xml:space="preserve">Request a free trial of </w:t>
            </w:r>
            <w:hyperlink r:id="rId7" w:history="1">
              <w:r>
                <w:rPr>
                  <w:rStyle w:val="Strong"/>
                  <w:rFonts w:eastAsia="Times New Roman" w:cs="Times New Roman"/>
                  <w:color w:val="0000FF"/>
                  <w:u w:val="single"/>
                </w:rPr>
                <w:t xml:space="preserve">Metals Daily - now available on </w:t>
              </w:r>
              <w:proofErr w:type="spellStart"/>
              <w:r>
                <w:rPr>
                  <w:rStyle w:val="Strong"/>
                  <w:rFonts w:eastAsia="Times New Roman" w:cs="Times New Roman"/>
                  <w:color w:val="0000FF"/>
                  <w:u w:val="single"/>
                </w:rPr>
                <w:t>Platts</w:t>
              </w:r>
              <w:proofErr w:type="spellEnd"/>
              <w:r>
                <w:rPr>
                  <w:rStyle w:val="Strong"/>
                  <w:rFonts w:eastAsia="Times New Roman" w:cs="Times New Roman"/>
                  <w:color w:val="0000FF"/>
                  <w:u w:val="single"/>
                </w:rPr>
                <w:t xml:space="preserve"> Market Center</w:t>
              </w:r>
            </w:hyperlink>
            <w:r>
              <w:rPr>
                <w:rFonts w:eastAsia="Times New Roman" w:cs="Times New Roman"/>
              </w:rPr>
              <w:t xml:space="preserve"> </w:t>
            </w:r>
          </w:p>
        </w:tc>
        <w:tc>
          <w:tcPr>
            <w:tcW w:w="2400" w:type="dxa"/>
            <w:vMerge w:val="restart"/>
            <w:hideMark/>
          </w:tcPr>
          <w:p w:rsidR="00BC1C8F" w:rsidRDefault="00BC1C8F">
            <w:pPr>
              <w:jc w:val="center"/>
              <w:rPr>
                <w:rFonts w:ascii="Times" w:eastAsia="Times New Roman" w:hAnsi="Times" w:cs="Times New Roman"/>
              </w:rPr>
            </w:pPr>
            <w:r>
              <w:rPr>
                <w:rFonts w:eastAsia="Times New Roman" w:cs="Times New Roman"/>
                <w:noProof/>
                <w:color w:val="0000FF"/>
              </w:rPr>
              <w:drawing>
                <wp:inline distT="0" distB="0" distL="0" distR="0">
                  <wp:extent cx="2025650" cy="1842770"/>
                  <wp:effectExtent l="0" t="0" r="6350" b="11430"/>
                  <wp:docPr id="4" name="Picture 4" descr="etals Daily">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tals Daily">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5650" cy="1842770"/>
                          </a:xfrm>
                          <a:prstGeom prst="rect">
                            <a:avLst/>
                          </a:prstGeom>
                          <a:noFill/>
                          <a:ln>
                            <a:noFill/>
                          </a:ln>
                        </pic:spPr>
                      </pic:pic>
                    </a:graphicData>
                  </a:graphic>
                </wp:inline>
              </w:drawing>
            </w:r>
          </w:p>
        </w:tc>
      </w:tr>
      <w:tr w:rsidR="00BC1C8F" w:rsidTr="00BC1C8F">
        <w:trPr>
          <w:tblCellSpacing w:w="0" w:type="dxa"/>
        </w:trPr>
        <w:tc>
          <w:tcPr>
            <w:tcW w:w="700" w:type="dxa"/>
            <w:hideMark/>
          </w:tcPr>
          <w:p w:rsidR="00BC1C8F" w:rsidRDefault="00BC1C8F">
            <w:pPr>
              <w:rPr>
                <w:rFonts w:ascii="Times" w:eastAsia="Times New Roman" w:hAnsi="Times" w:cs="Times New Roman"/>
              </w:rPr>
            </w:pPr>
            <w:r>
              <w:rPr>
                <w:rFonts w:eastAsia="Times New Roman" w:cs="Times New Roman"/>
                <w:noProof/>
              </w:rPr>
              <w:drawing>
                <wp:inline distT="0" distB="0" distL="0" distR="0">
                  <wp:extent cx="154940" cy="154940"/>
                  <wp:effectExtent l="0" t="0" r="0" b="0"/>
                  <wp:docPr id="5" name="Picture 5" descr="etals Dai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tals Dail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940" cy="154940"/>
                          </a:xfrm>
                          <a:prstGeom prst="rect">
                            <a:avLst/>
                          </a:prstGeom>
                          <a:noFill/>
                          <a:ln>
                            <a:noFill/>
                          </a:ln>
                        </pic:spPr>
                      </pic:pic>
                    </a:graphicData>
                  </a:graphic>
                </wp:inline>
              </w:drawing>
            </w:r>
          </w:p>
        </w:tc>
        <w:tc>
          <w:tcPr>
            <w:tcW w:w="8500" w:type="dxa"/>
            <w:hideMark/>
          </w:tcPr>
          <w:p w:rsidR="00BC1C8F" w:rsidRDefault="00BC1C8F">
            <w:pPr>
              <w:pStyle w:val="NormalWeb"/>
            </w:pPr>
            <w:proofErr w:type="spellStart"/>
            <w:r>
              <w:t>Platts</w:t>
            </w:r>
            <w:proofErr w:type="spellEnd"/>
            <w:r>
              <w:t xml:space="preserve"> Metals Daily is available to all subscribers online on </w:t>
            </w:r>
            <w:proofErr w:type="spellStart"/>
            <w:r>
              <w:t>Platts</w:t>
            </w:r>
            <w:proofErr w:type="spellEnd"/>
            <w:r>
              <w:t xml:space="preserve"> Market Center, an interactive website that carries all of the </w:t>
            </w:r>
            <w:proofErr w:type="spellStart"/>
            <w:r>
              <w:t>Platts</w:t>
            </w:r>
            <w:proofErr w:type="spellEnd"/>
            <w:r>
              <w:t xml:space="preserve"> news, market commentaries, proprietary price assessments and archived content, as well as the daily PDF publication.</w:t>
            </w:r>
            <w:r>
              <w:br/>
            </w:r>
            <w:r>
              <w:br/>
            </w:r>
            <w:proofErr w:type="spellStart"/>
            <w:r>
              <w:t>Platts</w:t>
            </w:r>
            <w:proofErr w:type="spellEnd"/>
            <w:r>
              <w:t xml:space="preserve"> Metals Daily offers prices, news and analysis for the aluminum, copper and molybdenum value chains. It contains hundreds of metals prices across base, minor, light and precious metals assessed by editors globally. This detailed service will help you monitor global events and quickly spot opportunities or potential pitfalls as well as bring you aluminum and copper price and news coverage. Daily prices and news for molybdenum are also covered to deliver critical insights.</w:t>
            </w:r>
          </w:p>
          <w:tbl>
            <w:tblPr>
              <w:tblW w:w="5000" w:type="pct"/>
              <w:tblCellSpacing w:w="0" w:type="dxa"/>
              <w:tblCellMar>
                <w:left w:w="0" w:type="dxa"/>
                <w:right w:w="0" w:type="dxa"/>
              </w:tblCellMar>
              <w:tblLook w:val="04A0" w:firstRow="1" w:lastRow="0" w:firstColumn="1" w:lastColumn="0" w:noHBand="0" w:noVBand="1"/>
            </w:tblPr>
            <w:tblGrid>
              <w:gridCol w:w="2344"/>
              <w:gridCol w:w="2440"/>
            </w:tblGrid>
            <w:tr w:rsidR="00BC1C8F">
              <w:trPr>
                <w:tblCellSpacing w:w="0" w:type="dxa"/>
              </w:trPr>
              <w:tc>
                <w:tcPr>
                  <w:tcW w:w="2500" w:type="pct"/>
                  <w:vAlign w:val="center"/>
                  <w:hideMark/>
                </w:tcPr>
                <w:p w:rsidR="00BC1C8F" w:rsidRDefault="00BC1C8F">
                  <w:pPr>
                    <w:rPr>
                      <w:rFonts w:ascii="Times" w:eastAsia="Times New Roman" w:hAnsi="Times" w:cs="Times New Roman"/>
                    </w:rPr>
                  </w:pPr>
                  <w:r>
                    <w:rPr>
                      <w:rFonts w:eastAsia="Times New Roman" w:cs="Times New Roman"/>
                      <w:noProof/>
                      <w:color w:val="0000FF"/>
                    </w:rPr>
                    <w:drawing>
                      <wp:inline distT="0" distB="0" distL="0" distR="0">
                        <wp:extent cx="1378585" cy="253365"/>
                        <wp:effectExtent l="0" t="0" r="0" b="635"/>
                        <wp:docPr id="6" name="Picture 6" descr="equest More Information">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quest More Information">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8585" cy="253365"/>
                                </a:xfrm>
                                <a:prstGeom prst="rect">
                                  <a:avLst/>
                                </a:prstGeom>
                                <a:noFill/>
                                <a:ln>
                                  <a:noFill/>
                                </a:ln>
                              </pic:spPr>
                            </pic:pic>
                          </a:graphicData>
                        </a:graphic>
                      </wp:inline>
                    </w:drawing>
                  </w:r>
                </w:p>
              </w:tc>
              <w:tc>
                <w:tcPr>
                  <w:tcW w:w="2500" w:type="pct"/>
                  <w:vAlign w:val="center"/>
                  <w:hideMark/>
                </w:tcPr>
                <w:p w:rsidR="00BC1C8F" w:rsidRDefault="00BC1C8F">
                  <w:pPr>
                    <w:rPr>
                      <w:rFonts w:ascii="Times" w:eastAsia="Times New Roman" w:hAnsi="Times" w:cs="Times New Roman"/>
                    </w:rPr>
                  </w:pPr>
                  <w:r>
                    <w:rPr>
                      <w:rFonts w:eastAsia="Times New Roman" w:cs="Times New Roman"/>
                      <w:noProof/>
                      <w:color w:val="0000FF"/>
                    </w:rPr>
                    <w:drawing>
                      <wp:inline distT="0" distB="0" distL="0" distR="0">
                        <wp:extent cx="1547495" cy="253365"/>
                        <wp:effectExtent l="0" t="0" r="1905" b="635"/>
                        <wp:docPr id="7" name="Picture 7" descr="equest a free trial to Metals Daily">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quest a free trial to Metals Daily">
                                  <a:hlinkClick r:id="rId8"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47495" cy="253365"/>
                                </a:xfrm>
                                <a:prstGeom prst="rect">
                                  <a:avLst/>
                                </a:prstGeom>
                                <a:noFill/>
                                <a:ln>
                                  <a:noFill/>
                                </a:ln>
                              </pic:spPr>
                            </pic:pic>
                          </a:graphicData>
                        </a:graphic>
                      </wp:inline>
                    </w:drawing>
                  </w:r>
                </w:p>
              </w:tc>
            </w:tr>
          </w:tbl>
          <w:p w:rsidR="00BC1C8F" w:rsidRDefault="00BC1C8F">
            <w:pPr>
              <w:rPr>
                <w:rFonts w:ascii="Times" w:eastAsia="Times New Roman" w:hAnsi="Times" w:cs="Times New Roman"/>
              </w:rPr>
            </w:pPr>
          </w:p>
        </w:tc>
        <w:tc>
          <w:tcPr>
            <w:tcW w:w="0" w:type="auto"/>
            <w:vMerge/>
            <w:vAlign w:val="center"/>
            <w:hideMark/>
          </w:tcPr>
          <w:p w:rsidR="00BC1C8F" w:rsidRDefault="00BC1C8F">
            <w:pPr>
              <w:rPr>
                <w:rFonts w:ascii="Times" w:eastAsia="Times New Roman" w:hAnsi="Times" w:cs="Times New Roman"/>
              </w:rPr>
            </w:pPr>
          </w:p>
        </w:tc>
      </w:tr>
      <w:tr w:rsidR="00BC1C8F" w:rsidTr="00BC1C8F">
        <w:trPr>
          <w:trHeight w:val="400"/>
          <w:tblCellSpacing w:w="0" w:type="dxa"/>
        </w:trPr>
        <w:tc>
          <w:tcPr>
            <w:tcW w:w="0" w:type="auto"/>
            <w:gridSpan w:val="3"/>
            <w:hideMark/>
          </w:tcPr>
          <w:p w:rsidR="00BC1C8F" w:rsidRDefault="00BC1C8F">
            <w:pPr>
              <w:rPr>
                <w:rFonts w:ascii="Times" w:eastAsia="Times New Roman" w:hAnsi="Times" w:cs="Times New Roman"/>
              </w:rPr>
            </w:pPr>
            <w:r>
              <w:rPr>
                <w:rFonts w:eastAsia="Times New Roman" w:cs="Times New Roman"/>
              </w:rPr>
              <w:pict>
                <v:rect id="_x0000_i1032" style="width:0;height:1pt" o:hralign="center" o:hrstd="t" o:hr="t" fillcolor="#aaa" stroked="f"/>
              </w:pict>
            </w:r>
          </w:p>
        </w:tc>
      </w:tr>
    </w:tbl>
    <w:p w:rsidR="00BC1C8F" w:rsidRDefault="00BC1C8F" w:rsidP="00BC1C8F">
      <w:pPr>
        <w:pStyle w:val="NormalWeb"/>
      </w:pPr>
      <w:r>
        <w:br/>
        <w:t>"We saw a decent amount of metal being offered to the market," one PGM refiner said, putting the range of physical deals between $715 and $765.</w:t>
      </w:r>
      <w:r>
        <w:br/>
      </w:r>
      <w:r>
        <w:br/>
        <w:t>"There's a lot of speculation out there about how the Volkswagen scandal may affect certain markets. People hear 'diesel' and they think 'rhodium' and they're out," the refiner added.</w:t>
      </w:r>
      <w:r>
        <w:br/>
      </w:r>
      <w:r>
        <w:br/>
        <w:t>"There's a possibility that some of the metal offered to the market could have been the result of that. But I think that's speculative at this point, and I wouldn't put too much into it," he said.</w:t>
      </w:r>
      <w:r>
        <w:br/>
      </w:r>
      <w:r>
        <w:br/>
        <w:t>Other sources also doubted whether the Volkswagen scandal had prompted more offers. "That may have been one factor adding to the weakness, but it was already weak," one PGM dealer in the Northeast said, putting the range at $700-$765.</w:t>
      </w:r>
      <w:r>
        <w:br/>
      </w:r>
      <w:r>
        <w:br/>
        <w:t>Catalytic converters in diesel-powered vehicles, like those driven in Europe, contain rhodium to reduce nitrogen oxide emissions, along with platinum.</w:t>
      </w:r>
      <w:r>
        <w:br/>
      </w:r>
      <w:r>
        <w:br/>
        <w:t>Some market players may have become concerned the scandal would prompt European automakers to phase out production of diesel vehicles altogether in favor of gasoline-powered vehicles, like those driven in the US and China.</w:t>
      </w:r>
      <w:r>
        <w:br/>
      </w:r>
      <w:r>
        <w:br/>
        <w:t>"But this is a long-term thing," one European dealer said, putting the range of physical deals this week at $737-$767. "It's not like car companies can recalibrate their [catalytic converter] loadings overnight. This is a one- or two-year process."</w:t>
      </w:r>
      <w:r>
        <w:br/>
      </w:r>
      <w:r>
        <w:br/>
        <w:t>Even so, palladium futures benefited from the controversy this week to end at a two-month high. NYMEX palladium for December delivery gained $11.15/</w:t>
      </w:r>
      <w:proofErr w:type="spellStart"/>
      <w:r>
        <w:t>oz</w:t>
      </w:r>
      <w:proofErr w:type="spellEnd"/>
      <w:r>
        <w:t xml:space="preserve"> Friday to close at $667.60/</w:t>
      </w:r>
      <w:proofErr w:type="spellStart"/>
      <w:r>
        <w:t>oz</w:t>
      </w:r>
      <w:proofErr w:type="spellEnd"/>
      <w:r>
        <w:t>, and was up $56.75/</w:t>
      </w:r>
      <w:proofErr w:type="spellStart"/>
      <w:r>
        <w:t>oz</w:t>
      </w:r>
      <w:proofErr w:type="spellEnd"/>
      <w:r>
        <w:t xml:space="preserve"> on the week, or nearly 9.3%.</w:t>
      </w:r>
      <w:r>
        <w:br/>
      </w:r>
      <w:r>
        <w:br/>
        <w:t xml:space="preserve">The European trader said he felt much of the offered metal </w:t>
      </w:r>
      <w:proofErr w:type="gramStart"/>
      <w:r>
        <w:t>may</w:t>
      </w:r>
      <w:proofErr w:type="gramEnd"/>
      <w:r>
        <w:t xml:space="preserve"> have come from companies trying to reduce their inventory before month-end and year-end. The fiscal year for some companies runs from October 1 to September 30.</w:t>
      </w:r>
      <w:r>
        <w:br/>
      </w:r>
      <w:r>
        <w:br/>
        <w:t>Moreover, the dealer disagreed that rhodium was poised to move lower based on where he had been able to buy at the end of the week. "I think people still feel that rhodium is cheap down here, and are holding out for higher prices," he said.</w:t>
      </w:r>
      <w:r>
        <w:br/>
      </w:r>
      <w:r>
        <w:br/>
        <w:t xml:space="preserve">--Nick Jonson, </w:t>
      </w:r>
      <w:hyperlink r:id="rId14" w:history="1">
        <w:r>
          <w:rPr>
            <w:rStyle w:val="Hyperlink"/>
          </w:rPr>
          <w:t>nick.jonson@platts.com</w:t>
        </w:r>
      </w:hyperlink>
      <w:r>
        <w:br/>
        <w:t xml:space="preserve">--Edited by Richard Rubin, </w:t>
      </w:r>
      <w:hyperlink r:id="rId15" w:history="1">
        <w:r>
          <w:rPr>
            <w:rStyle w:val="Hyperlink"/>
          </w:rPr>
          <w:t>richard.rubin@platts.com</w:t>
        </w:r>
      </w:hyperlink>
    </w:p>
    <w:p w:rsidR="00BC1C8F" w:rsidRDefault="00BC1C8F">
      <w:bookmarkStart w:id="0" w:name="_GoBack"/>
      <w:bookmarkEnd w:id="0"/>
    </w:p>
    <w:sectPr w:rsidR="00BC1C8F" w:rsidSect="004D59F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662354"/>
    <w:multiLevelType w:val="multilevel"/>
    <w:tmpl w:val="EA8A2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257FEB"/>
    <w:multiLevelType w:val="multilevel"/>
    <w:tmpl w:val="76D6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C8F"/>
    <w:rsid w:val="004D59FF"/>
    <w:rsid w:val="00960448"/>
    <w:rsid w:val="00BC1C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9163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C1C8F"/>
    <w:pPr>
      <w:spacing w:before="100" w:beforeAutospacing="1" w:after="100" w:afterAutospacing="1"/>
      <w:outlineLvl w:val="0"/>
    </w:pPr>
    <w:rPr>
      <w:rFonts w:ascii="Times" w:hAnsi="Times"/>
      <w:b/>
      <w:bCs/>
      <w:kern w:val="36"/>
      <w:sz w:val="48"/>
      <w:szCs w:val="48"/>
    </w:rPr>
  </w:style>
  <w:style w:type="paragraph" w:styleId="Heading6">
    <w:name w:val="heading 6"/>
    <w:basedOn w:val="Normal"/>
    <w:link w:val="Heading6Char"/>
    <w:uiPriority w:val="9"/>
    <w:qFormat/>
    <w:rsid w:val="00BC1C8F"/>
    <w:pPr>
      <w:spacing w:before="100" w:beforeAutospacing="1" w:after="100" w:afterAutospacing="1"/>
      <w:outlineLvl w:val="5"/>
    </w:pPr>
    <w:rPr>
      <w:rFonts w:ascii="Times" w:hAnsi="Times"/>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C8F"/>
    <w:rPr>
      <w:rFonts w:ascii="Times" w:hAnsi="Times"/>
      <w:b/>
      <w:bCs/>
      <w:kern w:val="36"/>
      <w:sz w:val="48"/>
      <w:szCs w:val="48"/>
    </w:rPr>
  </w:style>
  <w:style w:type="character" w:customStyle="1" w:styleId="Heading6Char">
    <w:name w:val="Heading 6 Char"/>
    <w:basedOn w:val="DefaultParagraphFont"/>
    <w:link w:val="Heading6"/>
    <w:uiPriority w:val="9"/>
    <w:rsid w:val="00BC1C8F"/>
    <w:rPr>
      <w:rFonts w:ascii="Times" w:hAnsi="Times"/>
      <w:b/>
      <w:bCs/>
      <w:sz w:val="15"/>
      <w:szCs w:val="15"/>
    </w:rPr>
  </w:style>
  <w:style w:type="paragraph" w:styleId="NormalWeb">
    <w:name w:val="Normal (Web)"/>
    <w:basedOn w:val="Normal"/>
    <w:uiPriority w:val="99"/>
    <w:semiHidden/>
    <w:unhideWhenUsed/>
    <w:rsid w:val="00BC1C8F"/>
    <w:pPr>
      <w:spacing w:before="100" w:beforeAutospacing="1" w:after="100" w:afterAutospacing="1"/>
    </w:pPr>
    <w:rPr>
      <w:rFonts w:ascii="Times" w:hAnsi="Times" w:cs="Times New Roman"/>
      <w:sz w:val="20"/>
      <w:szCs w:val="20"/>
    </w:rPr>
  </w:style>
  <w:style w:type="character" w:customStyle="1" w:styleId="nobr">
    <w:name w:val="nobr"/>
    <w:basedOn w:val="DefaultParagraphFont"/>
    <w:rsid w:val="00BC1C8F"/>
  </w:style>
  <w:style w:type="paragraph" w:customStyle="1" w:styleId="p-block">
    <w:name w:val="p-block"/>
    <w:basedOn w:val="Normal"/>
    <w:rsid w:val="00BC1C8F"/>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BC1C8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1C8F"/>
    <w:rPr>
      <w:rFonts w:ascii="Lucida Grande" w:hAnsi="Lucida Grande" w:cs="Lucida Grande"/>
      <w:sz w:val="18"/>
      <w:szCs w:val="18"/>
    </w:rPr>
  </w:style>
  <w:style w:type="character" w:styleId="Strong">
    <w:name w:val="Strong"/>
    <w:basedOn w:val="DefaultParagraphFont"/>
    <w:uiPriority w:val="22"/>
    <w:qFormat/>
    <w:rsid w:val="00BC1C8F"/>
    <w:rPr>
      <w:b/>
      <w:bCs/>
    </w:rPr>
  </w:style>
  <w:style w:type="character" w:styleId="Hyperlink">
    <w:name w:val="Hyperlink"/>
    <w:basedOn w:val="DefaultParagraphFont"/>
    <w:uiPriority w:val="99"/>
    <w:semiHidden/>
    <w:unhideWhenUsed/>
    <w:rsid w:val="00BC1C8F"/>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C1C8F"/>
    <w:pPr>
      <w:spacing w:before="100" w:beforeAutospacing="1" w:after="100" w:afterAutospacing="1"/>
      <w:outlineLvl w:val="0"/>
    </w:pPr>
    <w:rPr>
      <w:rFonts w:ascii="Times" w:hAnsi="Times"/>
      <w:b/>
      <w:bCs/>
      <w:kern w:val="36"/>
      <w:sz w:val="48"/>
      <w:szCs w:val="48"/>
    </w:rPr>
  </w:style>
  <w:style w:type="paragraph" w:styleId="Heading6">
    <w:name w:val="heading 6"/>
    <w:basedOn w:val="Normal"/>
    <w:link w:val="Heading6Char"/>
    <w:uiPriority w:val="9"/>
    <w:qFormat/>
    <w:rsid w:val="00BC1C8F"/>
    <w:pPr>
      <w:spacing w:before="100" w:beforeAutospacing="1" w:after="100" w:afterAutospacing="1"/>
      <w:outlineLvl w:val="5"/>
    </w:pPr>
    <w:rPr>
      <w:rFonts w:ascii="Times" w:hAnsi="Times"/>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C8F"/>
    <w:rPr>
      <w:rFonts w:ascii="Times" w:hAnsi="Times"/>
      <w:b/>
      <w:bCs/>
      <w:kern w:val="36"/>
      <w:sz w:val="48"/>
      <w:szCs w:val="48"/>
    </w:rPr>
  </w:style>
  <w:style w:type="character" w:customStyle="1" w:styleId="Heading6Char">
    <w:name w:val="Heading 6 Char"/>
    <w:basedOn w:val="DefaultParagraphFont"/>
    <w:link w:val="Heading6"/>
    <w:uiPriority w:val="9"/>
    <w:rsid w:val="00BC1C8F"/>
    <w:rPr>
      <w:rFonts w:ascii="Times" w:hAnsi="Times"/>
      <w:b/>
      <w:bCs/>
      <w:sz w:val="15"/>
      <w:szCs w:val="15"/>
    </w:rPr>
  </w:style>
  <w:style w:type="paragraph" w:styleId="NormalWeb">
    <w:name w:val="Normal (Web)"/>
    <w:basedOn w:val="Normal"/>
    <w:uiPriority w:val="99"/>
    <w:semiHidden/>
    <w:unhideWhenUsed/>
    <w:rsid w:val="00BC1C8F"/>
    <w:pPr>
      <w:spacing w:before="100" w:beforeAutospacing="1" w:after="100" w:afterAutospacing="1"/>
    </w:pPr>
    <w:rPr>
      <w:rFonts w:ascii="Times" w:hAnsi="Times" w:cs="Times New Roman"/>
      <w:sz w:val="20"/>
      <w:szCs w:val="20"/>
    </w:rPr>
  </w:style>
  <w:style w:type="character" w:customStyle="1" w:styleId="nobr">
    <w:name w:val="nobr"/>
    <w:basedOn w:val="DefaultParagraphFont"/>
    <w:rsid w:val="00BC1C8F"/>
  </w:style>
  <w:style w:type="paragraph" w:customStyle="1" w:styleId="p-block">
    <w:name w:val="p-block"/>
    <w:basedOn w:val="Normal"/>
    <w:rsid w:val="00BC1C8F"/>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BC1C8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1C8F"/>
    <w:rPr>
      <w:rFonts w:ascii="Lucida Grande" w:hAnsi="Lucida Grande" w:cs="Lucida Grande"/>
      <w:sz w:val="18"/>
      <w:szCs w:val="18"/>
    </w:rPr>
  </w:style>
  <w:style w:type="character" w:styleId="Strong">
    <w:name w:val="Strong"/>
    <w:basedOn w:val="DefaultParagraphFont"/>
    <w:uiPriority w:val="22"/>
    <w:qFormat/>
    <w:rsid w:val="00BC1C8F"/>
    <w:rPr>
      <w:b/>
      <w:bCs/>
    </w:rPr>
  </w:style>
  <w:style w:type="character" w:styleId="Hyperlink">
    <w:name w:val="Hyperlink"/>
    <w:basedOn w:val="DefaultParagraphFont"/>
    <w:uiPriority w:val="99"/>
    <w:semiHidden/>
    <w:unhideWhenUsed/>
    <w:rsid w:val="00BC1C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050730">
      <w:bodyDiv w:val="1"/>
      <w:marLeft w:val="0"/>
      <w:marRight w:val="0"/>
      <w:marTop w:val="0"/>
      <w:marBottom w:val="0"/>
      <w:divBdr>
        <w:top w:val="none" w:sz="0" w:space="0" w:color="auto"/>
        <w:left w:val="none" w:sz="0" w:space="0" w:color="auto"/>
        <w:bottom w:val="none" w:sz="0" w:space="0" w:color="auto"/>
        <w:right w:val="none" w:sz="0" w:space="0" w:color="auto"/>
      </w:divBdr>
      <w:divsChild>
        <w:div w:id="132404608">
          <w:marLeft w:val="0"/>
          <w:marRight w:val="0"/>
          <w:marTop w:val="0"/>
          <w:marBottom w:val="0"/>
          <w:divBdr>
            <w:top w:val="none" w:sz="0" w:space="0" w:color="auto"/>
            <w:left w:val="none" w:sz="0" w:space="0" w:color="auto"/>
            <w:bottom w:val="none" w:sz="0" w:space="0" w:color="auto"/>
            <w:right w:val="none" w:sz="0" w:space="0" w:color="auto"/>
          </w:divBdr>
          <w:divsChild>
            <w:div w:id="2111200026">
              <w:marLeft w:val="0"/>
              <w:marRight w:val="0"/>
              <w:marTop w:val="0"/>
              <w:marBottom w:val="0"/>
              <w:divBdr>
                <w:top w:val="none" w:sz="0" w:space="0" w:color="auto"/>
                <w:left w:val="none" w:sz="0" w:space="0" w:color="auto"/>
                <w:bottom w:val="none" w:sz="0" w:space="0" w:color="auto"/>
                <w:right w:val="none" w:sz="0" w:space="0" w:color="auto"/>
              </w:divBdr>
              <w:divsChild>
                <w:div w:id="132739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45515">
          <w:marLeft w:val="0"/>
          <w:marRight w:val="0"/>
          <w:marTop w:val="0"/>
          <w:marBottom w:val="0"/>
          <w:divBdr>
            <w:top w:val="none" w:sz="0" w:space="0" w:color="auto"/>
            <w:left w:val="none" w:sz="0" w:space="0" w:color="auto"/>
            <w:bottom w:val="none" w:sz="0" w:space="0" w:color="auto"/>
            <w:right w:val="none" w:sz="0" w:space="0" w:color="auto"/>
          </w:divBdr>
          <w:divsChild>
            <w:div w:id="954678701">
              <w:marLeft w:val="0"/>
              <w:marRight w:val="0"/>
              <w:marTop w:val="0"/>
              <w:marBottom w:val="0"/>
              <w:divBdr>
                <w:top w:val="none" w:sz="0" w:space="0" w:color="auto"/>
                <w:left w:val="none" w:sz="0" w:space="0" w:color="auto"/>
                <w:bottom w:val="none" w:sz="0" w:space="0" w:color="auto"/>
                <w:right w:val="none" w:sz="0" w:space="0" w:color="auto"/>
              </w:divBdr>
            </w:div>
          </w:divsChild>
        </w:div>
        <w:div w:id="474686367">
          <w:marLeft w:val="0"/>
          <w:marRight w:val="0"/>
          <w:marTop w:val="0"/>
          <w:marBottom w:val="0"/>
          <w:divBdr>
            <w:top w:val="none" w:sz="0" w:space="0" w:color="auto"/>
            <w:left w:val="none" w:sz="0" w:space="0" w:color="auto"/>
            <w:bottom w:val="none" w:sz="0" w:space="0" w:color="auto"/>
            <w:right w:val="none" w:sz="0" w:space="0" w:color="auto"/>
          </w:divBdr>
          <w:divsChild>
            <w:div w:id="1692337310">
              <w:marLeft w:val="0"/>
              <w:marRight w:val="0"/>
              <w:marTop w:val="0"/>
              <w:marBottom w:val="0"/>
              <w:divBdr>
                <w:top w:val="none" w:sz="0" w:space="0" w:color="auto"/>
                <w:left w:val="none" w:sz="0" w:space="0" w:color="auto"/>
                <w:bottom w:val="none" w:sz="0" w:space="0" w:color="auto"/>
                <w:right w:val="none" w:sz="0" w:space="0" w:color="auto"/>
              </w:divBdr>
            </w:div>
          </w:divsChild>
        </w:div>
        <w:div w:id="616370493">
          <w:marLeft w:val="0"/>
          <w:marRight w:val="0"/>
          <w:marTop w:val="0"/>
          <w:marBottom w:val="0"/>
          <w:divBdr>
            <w:top w:val="none" w:sz="0" w:space="0" w:color="auto"/>
            <w:left w:val="none" w:sz="0" w:space="0" w:color="auto"/>
            <w:bottom w:val="none" w:sz="0" w:space="0" w:color="auto"/>
            <w:right w:val="none" w:sz="0" w:space="0" w:color="auto"/>
          </w:divBdr>
        </w:div>
        <w:div w:id="1187989454">
          <w:marLeft w:val="0"/>
          <w:marRight w:val="0"/>
          <w:marTop w:val="0"/>
          <w:marBottom w:val="0"/>
          <w:divBdr>
            <w:top w:val="none" w:sz="0" w:space="0" w:color="auto"/>
            <w:left w:val="none" w:sz="0" w:space="0" w:color="auto"/>
            <w:bottom w:val="none" w:sz="0" w:space="0" w:color="auto"/>
            <w:right w:val="none" w:sz="0" w:space="0" w:color="auto"/>
          </w:divBdr>
          <w:divsChild>
            <w:div w:id="1614633840">
              <w:marLeft w:val="0"/>
              <w:marRight w:val="0"/>
              <w:marTop w:val="0"/>
              <w:marBottom w:val="0"/>
              <w:divBdr>
                <w:top w:val="none" w:sz="0" w:space="0" w:color="auto"/>
                <w:left w:val="none" w:sz="0" w:space="0" w:color="auto"/>
                <w:bottom w:val="none" w:sz="0" w:space="0" w:color="auto"/>
                <w:right w:val="none" w:sz="0" w:space="0" w:color="auto"/>
              </w:divBdr>
            </w:div>
            <w:div w:id="1895235719">
              <w:marLeft w:val="0"/>
              <w:marRight w:val="0"/>
              <w:marTop w:val="0"/>
              <w:marBottom w:val="0"/>
              <w:divBdr>
                <w:top w:val="none" w:sz="0" w:space="0" w:color="auto"/>
                <w:left w:val="none" w:sz="0" w:space="0" w:color="auto"/>
                <w:bottom w:val="none" w:sz="0" w:space="0" w:color="auto"/>
                <w:right w:val="none" w:sz="0" w:space="0" w:color="auto"/>
              </w:divBdr>
            </w:div>
          </w:divsChild>
        </w:div>
        <w:div w:id="1336298081">
          <w:marLeft w:val="0"/>
          <w:marRight w:val="0"/>
          <w:marTop w:val="0"/>
          <w:marBottom w:val="0"/>
          <w:divBdr>
            <w:top w:val="none" w:sz="0" w:space="0" w:color="auto"/>
            <w:left w:val="none" w:sz="0" w:space="0" w:color="auto"/>
            <w:bottom w:val="none" w:sz="0" w:space="0" w:color="auto"/>
            <w:right w:val="none" w:sz="0" w:space="0" w:color="auto"/>
          </w:divBdr>
          <w:divsChild>
            <w:div w:id="1562522783">
              <w:marLeft w:val="0"/>
              <w:marRight w:val="0"/>
              <w:marTop w:val="100"/>
              <w:marBottom w:val="100"/>
              <w:divBdr>
                <w:top w:val="none" w:sz="0" w:space="0" w:color="auto"/>
                <w:left w:val="none" w:sz="0" w:space="0" w:color="auto"/>
                <w:bottom w:val="none" w:sz="0" w:space="0" w:color="auto"/>
                <w:right w:val="none" w:sz="0" w:space="0" w:color="auto"/>
              </w:divBdr>
              <w:divsChild>
                <w:div w:id="1797748189">
                  <w:marLeft w:val="0"/>
                  <w:marRight w:val="0"/>
                  <w:marTop w:val="0"/>
                  <w:marBottom w:val="0"/>
                  <w:divBdr>
                    <w:top w:val="none" w:sz="0" w:space="0" w:color="auto"/>
                    <w:left w:val="none" w:sz="0" w:space="0" w:color="auto"/>
                    <w:bottom w:val="none" w:sz="0" w:space="0" w:color="auto"/>
                    <w:right w:val="none" w:sz="0" w:space="0" w:color="auto"/>
                  </w:divBdr>
                  <w:divsChild>
                    <w:div w:id="1468164580">
                      <w:marLeft w:val="0"/>
                      <w:marRight w:val="0"/>
                      <w:marTop w:val="0"/>
                      <w:marBottom w:val="90"/>
                      <w:divBdr>
                        <w:top w:val="none" w:sz="0" w:space="0" w:color="auto"/>
                        <w:left w:val="none" w:sz="0" w:space="0" w:color="auto"/>
                        <w:bottom w:val="none" w:sz="0" w:space="0" w:color="auto"/>
                        <w:right w:val="none" w:sz="0" w:space="0" w:color="auto"/>
                      </w:divBdr>
                      <w:divsChild>
                        <w:div w:id="1215586540">
                          <w:marLeft w:val="0"/>
                          <w:marRight w:val="0"/>
                          <w:marTop w:val="0"/>
                          <w:marBottom w:val="0"/>
                          <w:divBdr>
                            <w:top w:val="none" w:sz="0" w:space="0" w:color="auto"/>
                            <w:left w:val="none" w:sz="0" w:space="0" w:color="auto"/>
                            <w:bottom w:val="none" w:sz="0" w:space="0" w:color="auto"/>
                            <w:right w:val="none" w:sz="0" w:space="0" w:color="auto"/>
                          </w:divBdr>
                        </w:div>
                      </w:divsChild>
                    </w:div>
                    <w:div w:id="1851795435">
                      <w:marLeft w:val="0"/>
                      <w:marRight w:val="0"/>
                      <w:marTop w:val="0"/>
                      <w:marBottom w:val="0"/>
                      <w:divBdr>
                        <w:top w:val="none" w:sz="0" w:space="0" w:color="auto"/>
                        <w:left w:val="none" w:sz="0" w:space="0" w:color="auto"/>
                        <w:bottom w:val="none" w:sz="0" w:space="0" w:color="auto"/>
                        <w:right w:val="none" w:sz="0" w:space="0" w:color="auto"/>
                      </w:divBdr>
                    </w:div>
                    <w:div w:id="2028825010">
                      <w:marLeft w:val="75"/>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399134084">
          <w:marLeft w:val="0"/>
          <w:marRight w:val="0"/>
          <w:marTop w:val="0"/>
          <w:marBottom w:val="0"/>
          <w:divBdr>
            <w:top w:val="none" w:sz="0" w:space="0" w:color="auto"/>
            <w:left w:val="none" w:sz="0" w:space="0" w:color="auto"/>
            <w:bottom w:val="none" w:sz="0" w:space="0" w:color="auto"/>
            <w:right w:val="none" w:sz="0" w:space="0" w:color="auto"/>
          </w:divBdr>
          <w:divsChild>
            <w:div w:id="2025206703">
              <w:marLeft w:val="0"/>
              <w:marRight w:val="0"/>
              <w:marTop w:val="0"/>
              <w:marBottom w:val="0"/>
              <w:divBdr>
                <w:top w:val="none" w:sz="0" w:space="0" w:color="auto"/>
                <w:left w:val="none" w:sz="0" w:space="0" w:color="auto"/>
                <w:bottom w:val="none" w:sz="0" w:space="0" w:color="auto"/>
                <w:right w:val="none" w:sz="0" w:space="0" w:color="auto"/>
              </w:divBdr>
              <w:divsChild>
                <w:div w:id="44866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5840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latts.com/Products/metalsdaily/Overview" TargetMode="External"/><Relationship Id="rId12" Type="http://schemas.openxmlformats.org/officeDocument/2006/relationships/image" Target="media/image4.gif"/><Relationship Id="rId13" Type="http://schemas.openxmlformats.org/officeDocument/2006/relationships/image" Target="media/image5.gif"/><Relationship Id="rId14" Type="http://schemas.openxmlformats.org/officeDocument/2006/relationships/hyperlink" Target="mailto:nick.jonson@platts.com" TargetMode="External"/><Relationship Id="rId15" Type="http://schemas.openxmlformats.org/officeDocument/2006/relationships/hyperlink" Target="mailto:richard.rubin@platts.com"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marketing.platts.com/forms/PLCOMF1243_metalsdailytrial" TargetMode="External"/><Relationship Id="rId8" Type="http://schemas.openxmlformats.org/officeDocument/2006/relationships/hyperlink" Target="http://marketing.platts.com/forms/RequestforTrial?src=marketing&amp;productsName=Metals%20Daily&amp;prodID=Metals%20Daily&amp;MVR=webed&amp;PSC=newsstory" TargetMode="External"/><Relationship Id="rId9" Type="http://schemas.openxmlformats.org/officeDocument/2006/relationships/image" Target="media/image2.jpeg"/><Relationship Id="rId10"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1751</Words>
  <Characters>9987</Characters>
  <Application>Microsoft Macintosh Word</Application>
  <DocSecurity>0</DocSecurity>
  <Lines>83</Lines>
  <Paragraphs>23</Paragraphs>
  <ScaleCrop>false</ScaleCrop>
  <Company/>
  <LinksUpToDate>false</LinksUpToDate>
  <CharactersWithSpaces>11715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Alfano-Smith</dc:creator>
  <cp:keywords/>
  <dc:description/>
  <cp:lastModifiedBy>Max Alfano-Smith</cp:lastModifiedBy>
  <cp:revision>1</cp:revision>
  <dcterms:created xsi:type="dcterms:W3CDTF">2015-10-16T02:36:00Z</dcterms:created>
  <dcterms:modified xsi:type="dcterms:W3CDTF">2015-10-16T02:37:00Z</dcterms:modified>
</cp:coreProperties>
</file>