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INFORMATION SECURITY MANAGEMENT SYSTEM SCOPE</w:t>
      </w:r>
    </w:p>
    <w:p>
      <w:pPr>
        <w:jc w:val="center"/>
      </w:pPr>
      <w:r>
        <w:rPr>
          <w:i/>
          <w:sz w:val="22"/>
        </w:rPr>
        <w:t>ISO/IEC 27001:2022 | Clause 4.3</w:t>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20"/>
            </w:pPr>
            <w:r>
              <w:rPr>
                <w:rFonts w:ascii="Aptos" w:hAnsi="Aptos"/>
                <w:b/>
                <w:sz w:val="18"/>
              </w:rPr>
              <w:t>Field</w:t>
            </w:r>
          </w:p>
        </w:tc>
        <w:tc>
          <w:tcPr>
            <w:tcW w:type="dxa" w:w="7920"/>
            <w:vAlign w:val="center"/>
            <w:shd w:fill="D9EAF7"/>
          </w:tcPr>
          <w:p>
            <w:pPr>
              <w:spacing w:after="20"/>
            </w:pPr>
            <w:r>
              <w:rPr>
                <w:rFonts w:ascii="Aptos" w:hAnsi="Aptos"/>
                <w:b/>
                <w:sz w:val="18"/>
              </w:rPr>
              <w:t>Value</w:t>
            </w:r>
          </w:p>
        </w:tc>
      </w:tr>
      <w:tr>
        <w:tc>
          <w:tcPr>
            <w:tcW w:type="dxa" w:w="2880"/>
            <w:vAlign w:val="center"/>
          </w:tcPr>
          <w:p>
            <w:pPr>
              <w:spacing w:after="20"/>
            </w:pPr>
            <w:r>
              <w:rPr>
                <w:rFonts w:ascii="Aptos" w:hAnsi="Aptos"/>
                <w:b w:val="0"/>
                <w:sz w:val="18"/>
              </w:rPr>
              <w:t>Organization</w:t>
            </w:r>
          </w:p>
        </w:tc>
        <w:tc>
          <w:tcPr>
            <w:tcW w:type="dxa" w:w="7920"/>
            <w:vAlign w:val="center"/>
          </w:tcPr>
          <w:p>
            <w:pPr>
              <w:spacing w:after="20"/>
            </w:pPr>
            <w:r>
              <w:rPr>
                <w:rFonts w:ascii="Aptos" w:hAnsi="Aptos"/>
                <w:b w:val="0"/>
                <w:sz w:val="18"/>
              </w:rPr>
              <w:t>BLITZX Engineering — fictional case study</w:t>
            </w:r>
          </w:p>
        </w:tc>
      </w:tr>
      <w:tr>
        <w:tc>
          <w:tcPr>
            <w:tcW w:type="dxa" w:w="2880"/>
            <w:vAlign w:val="center"/>
          </w:tcPr>
          <w:p>
            <w:pPr>
              <w:spacing w:after="20"/>
            </w:pPr>
            <w:r>
              <w:rPr>
                <w:rFonts w:ascii="Aptos" w:hAnsi="Aptos"/>
                <w:b w:val="0"/>
                <w:sz w:val="18"/>
              </w:rPr>
              <w:t>Document ID</w:t>
            </w:r>
          </w:p>
        </w:tc>
        <w:tc>
          <w:tcPr>
            <w:tcW w:type="dxa" w:w="7920"/>
            <w:vAlign w:val="center"/>
          </w:tcPr>
          <w:p>
            <w:pPr>
              <w:spacing w:after="20"/>
            </w:pPr>
            <w:r>
              <w:rPr>
                <w:rFonts w:ascii="Aptos" w:hAnsi="Aptos"/>
                <w:b w:val="0"/>
                <w:sz w:val="18"/>
              </w:rPr>
              <w:t>ISMS-SCOPE-001</w:t>
            </w:r>
          </w:p>
        </w:tc>
      </w:tr>
      <w:tr>
        <w:tc>
          <w:tcPr>
            <w:tcW w:type="dxa" w:w="2880"/>
            <w:vAlign w:val="center"/>
          </w:tcPr>
          <w:p>
            <w:pPr>
              <w:spacing w:after="20"/>
            </w:pPr>
            <w:r>
              <w:rPr>
                <w:rFonts w:ascii="Aptos" w:hAnsi="Aptos"/>
                <w:b w:val="0"/>
                <w:sz w:val="18"/>
              </w:rPr>
              <w:t>Document Owner</w:t>
            </w:r>
          </w:p>
        </w:tc>
        <w:tc>
          <w:tcPr>
            <w:tcW w:type="dxa" w:w="7920"/>
            <w:vAlign w:val="center"/>
          </w:tcPr>
          <w:p>
            <w:pPr>
              <w:spacing w:after="20"/>
            </w:pPr>
            <w:r>
              <w:rPr>
                <w:rFonts w:ascii="Aptos" w:hAnsi="Aptos"/>
                <w:b w:val="0"/>
                <w:sz w:val="18"/>
              </w:rPr>
              <w:t>ISMS Manager (proposed role)</w:t>
            </w:r>
          </w:p>
        </w:tc>
      </w:tr>
      <w:tr>
        <w:tc>
          <w:tcPr>
            <w:tcW w:type="dxa" w:w="2880"/>
            <w:vAlign w:val="center"/>
          </w:tcPr>
          <w:p>
            <w:pPr>
              <w:spacing w:after="20"/>
            </w:pPr>
            <w:r>
              <w:rPr>
                <w:rFonts w:ascii="Aptos" w:hAnsi="Aptos"/>
                <w:b w:val="0"/>
                <w:sz w:val="18"/>
              </w:rPr>
              <w:t>Prepared By</w:t>
            </w:r>
          </w:p>
        </w:tc>
        <w:tc>
          <w:tcPr>
            <w:tcW w:type="dxa" w:w="7920"/>
            <w:vAlign w:val="center"/>
          </w:tcPr>
          <w:p>
            <w:pPr>
              <w:spacing w:after="20"/>
            </w:pPr>
            <w:r>
              <w:rPr>
                <w:rFonts w:ascii="Aptos" w:hAnsi="Aptos"/>
                <w:b w:val="0"/>
                <w:sz w:val="18"/>
              </w:rPr>
              <w:t>GRC Analyst — Portfolio Project</w:t>
            </w:r>
          </w:p>
        </w:tc>
      </w:tr>
      <w:tr>
        <w:tc>
          <w:tcPr>
            <w:tcW w:type="dxa" w:w="2880"/>
            <w:vAlign w:val="center"/>
          </w:tcPr>
          <w:p>
            <w:pPr>
              <w:spacing w:after="20"/>
            </w:pPr>
            <w:r>
              <w:rPr>
                <w:rFonts w:ascii="Aptos" w:hAnsi="Aptos"/>
                <w:b w:val="0"/>
                <w:sz w:val="18"/>
              </w:rPr>
              <w:t>Version</w:t>
            </w:r>
          </w:p>
        </w:tc>
        <w:tc>
          <w:tcPr>
            <w:tcW w:type="dxa" w:w="7920"/>
            <w:vAlign w:val="center"/>
          </w:tcPr>
          <w:p>
            <w:pPr>
              <w:spacing w:after="20"/>
            </w:pPr>
            <w:r>
              <w:rPr>
                <w:rFonts w:ascii="Aptos" w:hAnsi="Aptos"/>
                <w:b w:val="0"/>
                <w:sz w:val="18"/>
              </w:rPr>
              <w:t>1.0</w:t>
            </w:r>
          </w:p>
        </w:tc>
      </w:tr>
      <w:tr>
        <w:tc>
          <w:tcPr>
            <w:tcW w:type="dxa" w:w="2880"/>
            <w:vAlign w:val="center"/>
          </w:tcPr>
          <w:p>
            <w:pPr>
              <w:spacing w:after="20"/>
            </w:pPr>
            <w:r>
              <w:rPr>
                <w:rFonts w:ascii="Aptos" w:hAnsi="Aptos"/>
                <w:b w:val="0"/>
                <w:sz w:val="18"/>
              </w:rPr>
              <w:t>Date</w:t>
            </w:r>
          </w:p>
        </w:tc>
        <w:tc>
          <w:tcPr>
            <w:tcW w:type="dxa" w:w="7920"/>
            <w:vAlign w:val="center"/>
          </w:tcPr>
          <w:p>
            <w:pPr>
              <w:spacing w:after="20"/>
            </w:pPr>
            <w:r>
              <w:rPr>
                <w:rFonts w:ascii="Aptos" w:hAnsi="Aptos"/>
                <w:b w:val="0"/>
                <w:sz w:val="18"/>
              </w:rPr>
              <w:t>14 October 2026</w:t>
            </w:r>
          </w:p>
        </w:tc>
      </w:tr>
      <w:tr>
        <w:tc>
          <w:tcPr>
            <w:tcW w:type="dxa" w:w="2880"/>
            <w:vAlign w:val="center"/>
          </w:tcPr>
          <w:p>
            <w:pPr>
              <w:spacing w:after="20"/>
            </w:pPr>
            <w:r>
              <w:rPr>
                <w:rFonts w:ascii="Aptos" w:hAnsi="Aptos"/>
                <w:b w:val="0"/>
                <w:sz w:val="18"/>
              </w:rPr>
              <w:t>Classification</w:t>
            </w:r>
          </w:p>
        </w:tc>
        <w:tc>
          <w:tcPr>
            <w:tcW w:type="dxa" w:w="7920"/>
            <w:vAlign w:val="center"/>
          </w:tcPr>
          <w:p>
            <w:pPr>
              <w:spacing w:after="20"/>
            </w:pPr>
            <w:r>
              <w:rPr>
                <w:rFonts w:ascii="Aptos" w:hAnsi="Aptos"/>
                <w:b w:val="0"/>
                <w:sz w:val="18"/>
              </w:rPr>
              <w:t>Internal — portfolio example</w:t>
            </w:r>
          </w:p>
        </w:tc>
      </w:tr>
      <w:tr>
        <w:tc>
          <w:tcPr>
            <w:tcW w:type="dxa" w:w="2880"/>
            <w:vAlign w:val="center"/>
          </w:tcPr>
          <w:p>
            <w:pPr>
              <w:spacing w:after="20"/>
            </w:pPr>
            <w:r>
              <w:rPr>
                <w:rFonts w:ascii="Aptos" w:hAnsi="Aptos"/>
                <w:b w:val="0"/>
                <w:sz w:val="18"/>
              </w:rPr>
              <w:t>Status</w:t>
            </w:r>
          </w:p>
        </w:tc>
        <w:tc>
          <w:tcPr>
            <w:tcW w:type="dxa" w:w="7920"/>
            <w:vAlign w:val="center"/>
          </w:tcPr>
          <w:p>
            <w:pPr>
              <w:spacing w:after="20"/>
            </w:pPr>
            <w:r>
              <w:rPr>
                <w:rFonts w:ascii="Aptos" w:hAnsi="Aptos"/>
                <w:b w:val="0"/>
                <w:sz w:val="18"/>
              </w:rPr>
              <w:t>Draft — pending review and approval</w:t>
            </w:r>
          </w:p>
        </w:tc>
      </w:tr>
    </w:tbl>
    <w:p/>
    <w:p>
      <w:pPr>
        <w:pStyle w:val="Heading1"/>
      </w:pPr>
      <w:r>
        <w:t>1. Purpose</w:t>
      </w:r>
    </w:p>
    <w:p>
      <w:r>
        <w:t>This document defines the proposed boundaries and applicability of the Information Security Management System (ISMS) for BLITZX Engineering. It identifies the organizational units, business processes, physical locations, services, information and communication technology, and relevant interfaces included in the ISMS.</w:t>
      </w:r>
    </w:p>
    <w:p>
      <w:pPr>
        <w:pStyle w:val="Heading1"/>
      </w:pPr>
      <w:r>
        <w:t>2. Terms and Definitions</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D9EAF7"/>
          </w:tcPr>
          <w:p>
            <w:pPr>
              <w:spacing w:after="20"/>
            </w:pPr>
            <w:r>
              <w:rPr>
                <w:rFonts w:ascii="Aptos" w:hAnsi="Aptos"/>
                <w:b/>
                <w:sz w:val="16"/>
              </w:rPr>
              <w:t>Term</w:t>
            </w:r>
          </w:p>
        </w:tc>
        <w:tc>
          <w:tcPr>
            <w:tcW w:type="dxa" w:w="8352"/>
            <w:vAlign w:val="center"/>
            <w:shd w:fill="D9EAF7"/>
          </w:tcPr>
          <w:p>
            <w:pPr>
              <w:spacing w:after="20"/>
            </w:pPr>
            <w:r>
              <w:rPr>
                <w:rFonts w:ascii="Aptos" w:hAnsi="Aptos"/>
                <w:b/>
                <w:sz w:val="16"/>
              </w:rPr>
              <w:t>Definition</w:t>
            </w:r>
          </w:p>
        </w:tc>
      </w:tr>
      <w:tr>
        <w:tc>
          <w:tcPr>
            <w:tcW w:type="dxa" w:w="2448"/>
            <w:vAlign w:val="center"/>
          </w:tcPr>
          <w:p>
            <w:pPr>
              <w:spacing w:after="20"/>
            </w:pPr>
            <w:r>
              <w:rPr>
                <w:rFonts w:ascii="Aptos" w:hAnsi="Aptos"/>
                <w:b w:val="0"/>
                <w:sz w:val="16"/>
              </w:rPr>
              <w:t>ISMS</w:t>
            </w:r>
          </w:p>
        </w:tc>
        <w:tc>
          <w:tcPr>
            <w:tcW w:type="dxa" w:w="8352"/>
            <w:vAlign w:val="center"/>
          </w:tcPr>
          <w:p>
            <w:pPr>
              <w:spacing w:after="20"/>
            </w:pPr>
            <w:r>
              <w:rPr>
                <w:rFonts w:ascii="Aptos" w:hAnsi="Aptos"/>
                <w:b w:val="0"/>
                <w:sz w:val="16"/>
              </w:rPr>
              <w:t>Information Security Management System.</w:t>
            </w:r>
          </w:p>
        </w:tc>
      </w:tr>
      <w:tr>
        <w:tc>
          <w:tcPr>
            <w:tcW w:type="dxa" w:w="2448"/>
            <w:vAlign w:val="center"/>
          </w:tcPr>
          <w:p>
            <w:pPr>
              <w:spacing w:after="20"/>
            </w:pPr>
            <w:r>
              <w:rPr>
                <w:rFonts w:ascii="Aptos" w:hAnsi="Aptos"/>
                <w:b w:val="0"/>
                <w:sz w:val="16"/>
              </w:rPr>
              <w:t>Scope</w:t>
            </w:r>
          </w:p>
        </w:tc>
        <w:tc>
          <w:tcPr>
            <w:tcW w:type="dxa" w:w="8352"/>
            <w:vAlign w:val="center"/>
          </w:tcPr>
          <w:p>
            <w:pPr>
              <w:spacing w:after="20"/>
            </w:pPr>
            <w:r>
              <w:rPr>
                <w:rFonts w:ascii="Aptos" w:hAnsi="Aptos"/>
                <w:b w:val="0"/>
                <w:sz w:val="16"/>
              </w:rPr>
              <w:t>The defined boundaries and applicability of the ISMS.</w:t>
            </w:r>
          </w:p>
        </w:tc>
      </w:tr>
      <w:tr>
        <w:tc>
          <w:tcPr>
            <w:tcW w:type="dxa" w:w="2448"/>
            <w:vAlign w:val="center"/>
          </w:tcPr>
          <w:p>
            <w:pPr>
              <w:spacing w:after="20"/>
            </w:pPr>
            <w:r>
              <w:rPr>
                <w:rFonts w:ascii="Aptos" w:hAnsi="Aptos"/>
                <w:b w:val="0"/>
                <w:sz w:val="16"/>
              </w:rPr>
              <w:t>Physical site</w:t>
            </w:r>
          </w:p>
        </w:tc>
        <w:tc>
          <w:tcPr>
            <w:tcW w:type="dxa" w:w="8352"/>
            <w:vAlign w:val="center"/>
          </w:tcPr>
          <w:p>
            <w:pPr>
              <w:spacing w:after="20"/>
            </w:pPr>
            <w:r>
              <w:rPr>
                <w:rFonts w:ascii="Aptos" w:hAnsi="Aptos"/>
                <w:b w:val="0"/>
                <w:sz w:val="16"/>
              </w:rPr>
              <w:t>A location where in-scope business or information-processing activities are performed.</w:t>
            </w:r>
          </w:p>
        </w:tc>
      </w:tr>
      <w:tr>
        <w:tc>
          <w:tcPr>
            <w:tcW w:type="dxa" w:w="2448"/>
            <w:vAlign w:val="center"/>
          </w:tcPr>
          <w:p>
            <w:pPr>
              <w:spacing w:after="20"/>
            </w:pPr>
            <w:r>
              <w:rPr>
                <w:rFonts w:ascii="Aptos" w:hAnsi="Aptos"/>
                <w:b w:val="0"/>
                <w:sz w:val="16"/>
              </w:rPr>
              <w:t>ICT</w:t>
            </w:r>
          </w:p>
        </w:tc>
        <w:tc>
          <w:tcPr>
            <w:tcW w:type="dxa" w:w="8352"/>
            <w:vAlign w:val="center"/>
          </w:tcPr>
          <w:p>
            <w:pPr>
              <w:spacing w:after="20"/>
            </w:pPr>
            <w:r>
              <w:rPr>
                <w:rFonts w:ascii="Aptos" w:hAnsi="Aptos"/>
                <w:b w:val="0"/>
                <w:sz w:val="16"/>
              </w:rPr>
              <w:t>Information and communication technology, including systems, applications, networks, infrastructure and data repositories.</w:t>
            </w:r>
          </w:p>
        </w:tc>
      </w:tr>
      <w:tr>
        <w:tc>
          <w:tcPr>
            <w:tcW w:type="dxa" w:w="2448"/>
            <w:vAlign w:val="center"/>
          </w:tcPr>
          <w:p>
            <w:pPr>
              <w:spacing w:after="20"/>
            </w:pPr>
            <w:r>
              <w:rPr>
                <w:rFonts w:ascii="Aptos" w:hAnsi="Aptos"/>
                <w:b w:val="0"/>
                <w:sz w:val="16"/>
              </w:rPr>
              <w:t>Interface</w:t>
            </w:r>
          </w:p>
        </w:tc>
        <w:tc>
          <w:tcPr>
            <w:tcW w:type="dxa" w:w="8352"/>
            <w:vAlign w:val="center"/>
          </w:tcPr>
          <w:p>
            <w:pPr>
              <w:spacing w:after="20"/>
            </w:pPr>
            <w:r>
              <w:rPr>
                <w:rFonts w:ascii="Aptos" w:hAnsi="Aptos"/>
                <w:b w:val="0"/>
                <w:sz w:val="16"/>
              </w:rPr>
              <w:t>A connection or dependency between in-scope activities/systems and external or out-of-scope parties/systems.</w:t>
            </w:r>
          </w:p>
        </w:tc>
      </w:tr>
    </w:tbl>
    <w:p/>
    <w:p>
      <w:pPr>
        <w:pStyle w:val="Heading1"/>
      </w:pPr>
      <w:r>
        <w:t>3. Related Documents</w:t>
      </w:r>
    </w:p>
    <w:p>
      <w:r>
        <w:t>• Clause 4.1 — Internal and External Issues Register</w:t>
        <w:br/>
        <w:t>• Clause 4.2 — Interested Parties Register</w:t>
        <w:br/>
        <w:t>• Asset Inventory</w:t>
        <w:br/>
        <w:t>• Information Security Risk Assessment and Risk Register</w:t>
        <w:br/>
        <w:t>• Information Security Policy</w:t>
        <w:br/>
        <w:t>• Statement of Applicability (as developed)</w:t>
      </w:r>
    </w:p>
    <w:p>
      <w:pPr>
        <w:pStyle w:val="Heading1"/>
      </w:pPr>
      <w:r>
        <w:t>4. ISMS Scope Statement</w:t>
      </w:r>
    </w:p>
    <w:p>
      <w:r>
        <w:t>The Information Security Management System of BLITZX Engineering covers the governance, management and protection of information and supporting technology used in its multinational heavy machinery and equipment manufacturing business. The proposed scope includes the corporate and divisional functions supporting Mining, Cranes and Aerospace; engineering and product development; manufacturing and production support; supply chain and distribution; finance; human resources; IT and information security; and relevant supporting business processes.</w:t>
      </w:r>
    </w:p>
    <w:p>
      <w:r>
        <w:t>The ISMS includes the information assets, applications, infrastructure, personnel, facilities and third-party dependencies that support these activities, subject to confirmation of the legal entities, sites, process owners and system boundaries during scope validation.</w:t>
      </w:r>
    </w:p>
    <w:p>
      <w:pPr>
        <w:pStyle w:val="Heading1"/>
      </w:pPr>
      <w:r>
        <w:t>4.1 Organizational Scope</w:t>
      </w:r>
    </w:p>
    <w:p>
      <w:r>
        <w:t>Proposed organizational boundary: BLITZX Engineering's corporate functions and the Mining, Cranes and Aerospace business divisions, including the teams responsible for engineering, manufacturing operations, supply chain, distribution, finance, human resources, IT and information security. The company profile describes multinational operations; the exact legal entities and subsidiaries included must be confirmed before the scope is approved.</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pPr>
              <w:spacing w:after="20"/>
            </w:pPr>
            <w:r>
              <w:rPr>
                <w:rFonts w:ascii="Aptos" w:hAnsi="Aptos"/>
                <w:b/>
                <w:sz w:val="16"/>
              </w:rPr>
              <w:t>Organizational Unit / Function</w:t>
            </w:r>
          </w:p>
        </w:tc>
        <w:tc>
          <w:tcPr>
            <w:tcW w:type="dxa" w:w="7632"/>
            <w:vAlign w:val="center"/>
            <w:shd w:fill="D9EAF7"/>
          </w:tcPr>
          <w:p>
            <w:pPr>
              <w:spacing w:after="20"/>
            </w:pPr>
            <w:r>
              <w:rPr>
                <w:rFonts w:ascii="Aptos" w:hAnsi="Aptos"/>
                <w:b/>
                <w:sz w:val="16"/>
              </w:rPr>
              <w:t>In-Scope Activities (proposed)</w:t>
            </w:r>
          </w:p>
        </w:tc>
      </w:tr>
      <w:tr>
        <w:tc>
          <w:tcPr>
            <w:tcW w:type="dxa" w:w="3168"/>
            <w:vAlign w:val="center"/>
          </w:tcPr>
          <w:p>
            <w:pPr>
              <w:spacing w:after="20"/>
            </w:pPr>
            <w:r>
              <w:rPr>
                <w:rFonts w:ascii="Aptos" w:hAnsi="Aptos"/>
                <w:b w:val="0"/>
                <w:sz w:val="16"/>
              </w:rPr>
              <w:t>Executive Management and Governance</w:t>
            </w:r>
          </w:p>
        </w:tc>
        <w:tc>
          <w:tcPr>
            <w:tcW w:type="dxa" w:w="7632"/>
            <w:vAlign w:val="center"/>
          </w:tcPr>
          <w:p>
            <w:pPr>
              <w:spacing w:after="20"/>
            </w:pPr>
            <w:r>
              <w:rPr>
                <w:rFonts w:ascii="Aptos" w:hAnsi="Aptos"/>
                <w:b w:val="0"/>
                <w:sz w:val="16"/>
              </w:rPr>
              <w:t>ISMS direction, risk oversight, policy approval and resource allocation.</w:t>
            </w:r>
          </w:p>
        </w:tc>
      </w:tr>
      <w:tr>
        <w:tc>
          <w:tcPr>
            <w:tcW w:type="dxa" w:w="3168"/>
            <w:vAlign w:val="center"/>
          </w:tcPr>
          <w:p>
            <w:pPr>
              <w:spacing w:after="20"/>
            </w:pPr>
            <w:r>
              <w:rPr>
                <w:rFonts w:ascii="Aptos" w:hAnsi="Aptos"/>
                <w:b w:val="0"/>
                <w:sz w:val="16"/>
              </w:rPr>
              <w:t>IT and Information Security</w:t>
            </w:r>
          </w:p>
        </w:tc>
        <w:tc>
          <w:tcPr>
            <w:tcW w:type="dxa" w:w="7632"/>
            <w:vAlign w:val="center"/>
          </w:tcPr>
          <w:p>
            <w:pPr>
              <w:spacing w:after="20"/>
            </w:pPr>
            <w:r>
              <w:rPr>
                <w:rFonts w:ascii="Aptos" w:hAnsi="Aptos"/>
                <w:b w:val="0"/>
                <w:sz w:val="16"/>
              </w:rPr>
              <w:t>Identity and access management, infrastructure, security operations, backup, incident response and system administration.</w:t>
            </w:r>
          </w:p>
        </w:tc>
      </w:tr>
      <w:tr>
        <w:tc>
          <w:tcPr>
            <w:tcW w:type="dxa" w:w="3168"/>
            <w:vAlign w:val="center"/>
          </w:tcPr>
          <w:p>
            <w:pPr>
              <w:spacing w:after="20"/>
            </w:pPr>
            <w:r>
              <w:rPr>
                <w:rFonts w:ascii="Aptos" w:hAnsi="Aptos"/>
                <w:b w:val="0"/>
                <w:sz w:val="16"/>
              </w:rPr>
              <w:t>Mining, Cranes and Aerospace Divisions</w:t>
            </w:r>
          </w:p>
        </w:tc>
        <w:tc>
          <w:tcPr>
            <w:tcW w:type="dxa" w:w="7632"/>
            <w:vAlign w:val="center"/>
          </w:tcPr>
          <w:p>
            <w:pPr>
              <w:spacing w:after="20"/>
            </w:pPr>
            <w:r>
              <w:rPr>
                <w:rFonts w:ascii="Aptos" w:hAnsi="Aptos"/>
                <w:b w:val="0"/>
                <w:sz w:val="16"/>
              </w:rPr>
              <w:t>Business processes and information assets supporting the respective product and service lines.</w:t>
            </w:r>
          </w:p>
        </w:tc>
      </w:tr>
      <w:tr>
        <w:tc>
          <w:tcPr>
            <w:tcW w:type="dxa" w:w="3168"/>
            <w:vAlign w:val="center"/>
          </w:tcPr>
          <w:p>
            <w:pPr>
              <w:spacing w:after="20"/>
            </w:pPr>
            <w:r>
              <w:rPr>
                <w:rFonts w:ascii="Aptos" w:hAnsi="Aptos"/>
                <w:b w:val="0"/>
                <w:sz w:val="16"/>
              </w:rPr>
              <w:t>Engineering and Product Development</w:t>
            </w:r>
          </w:p>
        </w:tc>
        <w:tc>
          <w:tcPr>
            <w:tcW w:type="dxa" w:w="7632"/>
            <w:vAlign w:val="center"/>
          </w:tcPr>
          <w:p>
            <w:pPr>
              <w:spacing w:after="20"/>
            </w:pPr>
            <w:r>
              <w:rPr>
                <w:rFonts w:ascii="Aptos" w:hAnsi="Aptos"/>
                <w:b w:val="0"/>
                <w:sz w:val="16"/>
              </w:rPr>
              <w:t>Product designs, technical drawings, engineering records and product lifecycle information.</w:t>
            </w:r>
          </w:p>
        </w:tc>
      </w:tr>
      <w:tr>
        <w:tc>
          <w:tcPr>
            <w:tcW w:type="dxa" w:w="3168"/>
            <w:vAlign w:val="center"/>
          </w:tcPr>
          <w:p>
            <w:pPr>
              <w:spacing w:after="20"/>
            </w:pPr>
            <w:r>
              <w:rPr>
                <w:rFonts w:ascii="Aptos" w:hAnsi="Aptos"/>
                <w:b w:val="0"/>
                <w:sz w:val="16"/>
              </w:rPr>
              <w:t>Manufacturing and Operations</w:t>
            </w:r>
          </w:p>
        </w:tc>
        <w:tc>
          <w:tcPr>
            <w:tcW w:type="dxa" w:w="7632"/>
            <w:vAlign w:val="center"/>
          </w:tcPr>
          <w:p>
            <w:pPr>
              <w:spacing w:after="20"/>
            </w:pPr>
            <w:r>
              <w:rPr>
                <w:rFonts w:ascii="Aptos" w:hAnsi="Aptos"/>
                <w:b w:val="0"/>
                <w:sz w:val="16"/>
              </w:rPr>
              <w:t>Production-supporting information systems and processes, including manufacturing execution technology.</w:t>
            </w:r>
          </w:p>
        </w:tc>
      </w:tr>
      <w:tr>
        <w:tc>
          <w:tcPr>
            <w:tcW w:type="dxa" w:w="3168"/>
            <w:vAlign w:val="center"/>
          </w:tcPr>
          <w:p>
            <w:pPr>
              <w:spacing w:after="20"/>
            </w:pPr>
            <w:r>
              <w:rPr>
                <w:rFonts w:ascii="Aptos" w:hAnsi="Aptos"/>
                <w:b w:val="0"/>
                <w:sz w:val="16"/>
              </w:rPr>
              <w:t>Supply Chain and Distribution</w:t>
            </w:r>
          </w:p>
        </w:tc>
        <w:tc>
          <w:tcPr>
            <w:tcW w:type="dxa" w:w="7632"/>
            <w:vAlign w:val="center"/>
          </w:tcPr>
          <w:p>
            <w:pPr>
              <w:spacing w:after="20"/>
            </w:pPr>
            <w:r>
              <w:rPr>
                <w:rFonts w:ascii="Aptos" w:hAnsi="Aptos"/>
                <w:b w:val="0"/>
                <w:sz w:val="16"/>
              </w:rPr>
              <w:t>Supplier information, procurement, inventory, logistics and distribution records.</w:t>
            </w:r>
          </w:p>
        </w:tc>
      </w:tr>
      <w:tr>
        <w:tc>
          <w:tcPr>
            <w:tcW w:type="dxa" w:w="3168"/>
            <w:vAlign w:val="center"/>
          </w:tcPr>
          <w:p>
            <w:pPr>
              <w:spacing w:after="20"/>
            </w:pPr>
            <w:r>
              <w:rPr>
                <w:rFonts w:ascii="Aptos" w:hAnsi="Aptos"/>
                <w:b w:val="0"/>
                <w:sz w:val="16"/>
              </w:rPr>
              <w:t>Finance and Human Resources</w:t>
            </w:r>
          </w:p>
        </w:tc>
        <w:tc>
          <w:tcPr>
            <w:tcW w:type="dxa" w:w="7632"/>
            <w:vAlign w:val="center"/>
          </w:tcPr>
          <w:p>
            <w:pPr>
              <w:spacing w:after="20"/>
            </w:pPr>
            <w:r>
              <w:rPr>
                <w:rFonts w:ascii="Aptos" w:hAnsi="Aptos"/>
                <w:b w:val="0"/>
                <w:sz w:val="16"/>
              </w:rPr>
              <w:t>Financial, payroll, employee and other business records.</w:t>
            </w:r>
          </w:p>
        </w:tc>
      </w:tr>
      <w:tr>
        <w:tc>
          <w:tcPr>
            <w:tcW w:type="dxa" w:w="3168"/>
            <w:vAlign w:val="center"/>
          </w:tcPr>
          <w:p>
            <w:pPr>
              <w:spacing w:after="20"/>
            </w:pPr>
            <w:r>
              <w:rPr>
                <w:rFonts w:ascii="Aptos" w:hAnsi="Aptos"/>
                <w:b w:val="0"/>
                <w:sz w:val="16"/>
              </w:rPr>
              <w:t>Quality Management</w:t>
            </w:r>
          </w:p>
        </w:tc>
        <w:tc>
          <w:tcPr>
            <w:tcW w:type="dxa" w:w="7632"/>
            <w:vAlign w:val="center"/>
          </w:tcPr>
          <w:p>
            <w:pPr>
              <w:spacing w:after="20"/>
            </w:pPr>
            <w:r>
              <w:rPr>
                <w:rFonts w:ascii="Aptos" w:hAnsi="Aptos"/>
                <w:b w:val="0"/>
                <w:sz w:val="16"/>
              </w:rPr>
              <w:t>Controlled documentation, quality records and relevant supporting processes.</w:t>
            </w:r>
          </w:p>
        </w:tc>
      </w:tr>
    </w:tbl>
    <w:p/>
    <w:p>
      <w:pPr>
        <w:pStyle w:val="Heading1"/>
      </w:pPr>
      <w:r>
        <w:t>4.2 Physical Scope</w:t>
      </w:r>
    </w:p>
    <w:p>
      <w:r>
        <w:t>The company profile identifies headquarters in Berlin, Germany, manufacturing facilities in Detroit, USA and Shanghai, China, and distribution presence including Brazil and India. These locations are candidate sites for consideration in the ISMS. Inclusion of each site must be confirmed against the selected scope, information flows, site ownership and available security controls.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9EAF7"/>
          </w:tcPr>
          <w:p>
            <w:pPr>
              <w:spacing w:after="20"/>
            </w:pPr>
            <w:r>
              <w:rPr>
                <w:rFonts w:ascii="Aptos" w:hAnsi="Aptos"/>
                <w:b/>
                <w:sz w:val="14"/>
              </w:rPr>
              <w:t>Site / Location</w:t>
            </w:r>
          </w:p>
        </w:tc>
        <w:tc>
          <w:tcPr>
            <w:tcW w:type="dxa" w:w="4680"/>
            <w:vAlign w:val="center"/>
            <w:shd w:fill="D9EAF7"/>
          </w:tcPr>
          <w:p>
            <w:pPr>
              <w:spacing w:after="20"/>
            </w:pPr>
            <w:r>
              <w:rPr>
                <w:rFonts w:ascii="Aptos" w:hAnsi="Aptos"/>
                <w:b/>
                <w:sz w:val="14"/>
              </w:rPr>
              <w:t>Proposed Scope Treatment</w:t>
            </w:r>
          </w:p>
        </w:tc>
        <w:tc>
          <w:tcPr>
            <w:tcW w:type="dxa" w:w="3888"/>
            <w:vAlign w:val="center"/>
            <w:shd w:fill="D9EAF7"/>
          </w:tcPr>
          <w:p>
            <w:pPr>
              <w:spacing w:after="20"/>
            </w:pPr>
            <w:r>
              <w:rPr>
                <w:rFonts w:ascii="Aptos" w:hAnsi="Aptos"/>
                <w:b/>
                <w:sz w:val="14"/>
              </w:rPr>
              <w:t>Validation Needed</w:t>
            </w:r>
          </w:p>
        </w:tc>
      </w:tr>
      <w:tr>
        <w:tc>
          <w:tcPr>
            <w:tcW w:type="dxa" w:w="2232"/>
            <w:vAlign w:val="center"/>
          </w:tcPr>
          <w:p>
            <w:pPr>
              <w:spacing w:after="20"/>
            </w:pPr>
            <w:r>
              <w:rPr>
                <w:rFonts w:ascii="Aptos" w:hAnsi="Aptos"/>
                <w:b w:val="0"/>
                <w:sz w:val="14"/>
              </w:rPr>
              <w:t>Berlin, Germany — Headquarters</w:t>
            </w:r>
          </w:p>
        </w:tc>
        <w:tc>
          <w:tcPr>
            <w:tcW w:type="dxa" w:w="4680"/>
            <w:vAlign w:val="center"/>
          </w:tcPr>
          <w:p>
            <w:pPr>
              <w:spacing w:after="20"/>
            </w:pPr>
            <w:r>
              <w:rPr>
                <w:rFonts w:ascii="Aptos" w:hAnsi="Aptos"/>
                <w:b w:val="0"/>
                <w:sz w:val="14"/>
              </w:rPr>
              <w:t>Include corporate governance and central functions that support the ISMS.</w:t>
            </w:r>
          </w:p>
        </w:tc>
        <w:tc>
          <w:tcPr>
            <w:tcW w:type="dxa" w:w="3888"/>
            <w:vAlign w:val="center"/>
          </w:tcPr>
          <w:p>
            <w:pPr>
              <w:spacing w:after="20"/>
            </w:pPr>
            <w:r>
              <w:rPr>
                <w:rFonts w:ascii="Aptos" w:hAnsi="Aptos"/>
                <w:b w:val="0"/>
                <w:sz w:val="14"/>
              </w:rPr>
              <w:t>Confirm exact site address, legal entity and teams located there.</w:t>
            </w:r>
          </w:p>
        </w:tc>
      </w:tr>
      <w:tr>
        <w:tc>
          <w:tcPr>
            <w:tcW w:type="dxa" w:w="2232"/>
            <w:vAlign w:val="center"/>
          </w:tcPr>
          <w:p>
            <w:pPr>
              <w:spacing w:after="20"/>
            </w:pPr>
            <w:r>
              <w:rPr>
                <w:rFonts w:ascii="Aptos" w:hAnsi="Aptos"/>
                <w:b w:val="0"/>
                <w:sz w:val="14"/>
              </w:rPr>
              <w:t>Detroit, USA — Manufacturing</w:t>
            </w:r>
          </w:p>
        </w:tc>
        <w:tc>
          <w:tcPr>
            <w:tcW w:type="dxa" w:w="4680"/>
            <w:vAlign w:val="center"/>
          </w:tcPr>
          <w:p>
            <w:pPr>
              <w:spacing w:after="20"/>
            </w:pPr>
            <w:r>
              <w:rPr>
                <w:rFonts w:ascii="Aptos" w:hAnsi="Aptos"/>
                <w:b w:val="0"/>
                <w:sz w:val="14"/>
              </w:rPr>
              <w:t>Include manufacturing and information-processing activities supporting production if selected in the ISMS boundary.</w:t>
            </w:r>
          </w:p>
        </w:tc>
        <w:tc>
          <w:tcPr>
            <w:tcW w:type="dxa" w:w="3888"/>
            <w:vAlign w:val="center"/>
          </w:tcPr>
          <w:p>
            <w:pPr>
              <w:spacing w:after="20"/>
            </w:pPr>
            <w:r>
              <w:rPr>
                <w:rFonts w:ascii="Aptos" w:hAnsi="Aptos"/>
                <w:b w:val="0"/>
                <w:sz w:val="14"/>
              </w:rPr>
              <w:t>Confirm site boundary, connected systems and operational owner.</w:t>
            </w:r>
          </w:p>
        </w:tc>
      </w:tr>
      <w:tr>
        <w:tc>
          <w:tcPr>
            <w:tcW w:type="dxa" w:w="2232"/>
            <w:vAlign w:val="center"/>
          </w:tcPr>
          <w:p>
            <w:pPr>
              <w:spacing w:after="20"/>
            </w:pPr>
            <w:r>
              <w:rPr>
                <w:rFonts w:ascii="Aptos" w:hAnsi="Aptos"/>
                <w:b w:val="0"/>
                <w:sz w:val="14"/>
              </w:rPr>
              <w:t>Shanghai, China — Manufacturing</w:t>
            </w:r>
          </w:p>
        </w:tc>
        <w:tc>
          <w:tcPr>
            <w:tcW w:type="dxa" w:w="4680"/>
            <w:vAlign w:val="center"/>
          </w:tcPr>
          <w:p>
            <w:pPr>
              <w:spacing w:after="20"/>
            </w:pPr>
            <w:r>
              <w:rPr>
                <w:rFonts w:ascii="Aptos" w:hAnsi="Aptos"/>
                <w:b w:val="0"/>
                <w:sz w:val="14"/>
              </w:rPr>
              <w:t>Include manufacturing and information-processing activities supporting production if selected in the ISMS boundary.</w:t>
            </w:r>
          </w:p>
        </w:tc>
        <w:tc>
          <w:tcPr>
            <w:tcW w:type="dxa" w:w="3888"/>
            <w:vAlign w:val="center"/>
          </w:tcPr>
          <w:p>
            <w:pPr>
              <w:spacing w:after="20"/>
            </w:pPr>
            <w:r>
              <w:rPr>
                <w:rFonts w:ascii="Aptos" w:hAnsi="Aptos"/>
                <w:b w:val="0"/>
                <w:sz w:val="14"/>
              </w:rPr>
              <w:t>Confirm site boundary, connected systems and operational owner.</w:t>
            </w:r>
          </w:p>
        </w:tc>
      </w:tr>
      <w:tr>
        <w:tc>
          <w:tcPr>
            <w:tcW w:type="dxa" w:w="2232"/>
            <w:vAlign w:val="center"/>
          </w:tcPr>
          <w:p>
            <w:pPr>
              <w:spacing w:after="20"/>
            </w:pPr>
            <w:r>
              <w:rPr>
                <w:rFonts w:ascii="Aptos" w:hAnsi="Aptos"/>
                <w:b w:val="0"/>
                <w:sz w:val="14"/>
              </w:rPr>
              <w:t>Brazil — Distribution presence</w:t>
            </w:r>
          </w:p>
        </w:tc>
        <w:tc>
          <w:tcPr>
            <w:tcW w:type="dxa" w:w="4680"/>
            <w:vAlign w:val="center"/>
          </w:tcPr>
          <w:p>
            <w:pPr>
              <w:spacing w:after="20"/>
            </w:pPr>
            <w:r>
              <w:rPr>
                <w:rFonts w:ascii="Aptos" w:hAnsi="Aptos"/>
                <w:b w:val="0"/>
                <w:sz w:val="14"/>
              </w:rPr>
              <w:t>Include relevant distribution processes and information assets if they are part of the selected scope.</w:t>
            </w:r>
          </w:p>
        </w:tc>
        <w:tc>
          <w:tcPr>
            <w:tcW w:type="dxa" w:w="3888"/>
            <w:vAlign w:val="center"/>
          </w:tcPr>
          <w:p>
            <w:pPr>
              <w:spacing w:after="20"/>
            </w:pPr>
            <w:r>
              <w:rPr>
                <w:rFonts w:ascii="Aptos" w:hAnsi="Aptos"/>
                <w:b w:val="0"/>
                <w:sz w:val="14"/>
              </w:rPr>
              <w:t>Confirm specific office/site and activities.</w:t>
            </w:r>
          </w:p>
        </w:tc>
      </w:tr>
      <w:tr>
        <w:tc>
          <w:tcPr>
            <w:tcW w:type="dxa" w:w="2232"/>
            <w:vAlign w:val="center"/>
          </w:tcPr>
          <w:p>
            <w:pPr>
              <w:spacing w:after="20"/>
            </w:pPr>
            <w:r>
              <w:rPr>
                <w:rFonts w:ascii="Aptos" w:hAnsi="Aptos"/>
                <w:b w:val="0"/>
                <w:sz w:val="14"/>
              </w:rPr>
              <w:t>India — Distribution presence</w:t>
            </w:r>
          </w:p>
        </w:tc>
        <w:tc>
          <w:tcPr>
            <w:tcW w:type="dxa" w:w="4680"/>
            <w:vAlign w:val="center"/>
          </w:tcPr>
          <w:p>
            <w:pPr>
              <w:spacing w:after="20"/>
            </w:pPr>
            <w:r>
              <w:rPr>
                <w:rFonts w:ascii="Aptos" w:hAnsi="Aptos"/>
                <w:b w:val="0"/>
                <w:sz w:val="14"/>
              </w:rPr>
              <w:t>Include relevant distribution processes and information assets if they are part of the selected scope.</w:t>
            </w:r>
          </w:p>
        </w:tc>
        <w:tc>
          <w:tcPr>
            <w:tcW w:type="dxa" w:w="3888"/>
            <w:vAlign w:val="center"/>
          </w:tcPr>
          <w:p>
            <w:pPr>
              <w:spacing w:after="20"/>
            </w:pPr>
            <w:r>
              <w:rPr>
                <w:rFonts w:ascii="Aptos" w:hAnsi="Aptos"/>
                <w:b w:val="0"/>
                <w:sz w:val="14"/>
              </w:rPr>
              <w:t>Confirm specific office/site and activities.</w:t>
            </w:r>
          </w:p>
        </w:tc>
      </w:tr>
      <w:tr>
        <w:tc>
          <w:tcPr>
            <w:tcW w:type="dxa" w:w="2232"/>
            <w:vAlign w:val="center"/>
          </w:tcPr>
          <w:p>
            <w:pPr>
              <w:spacing w:after="20"/>
            </w:pPr>
            <w:r>
              <w:rPr>
                <w:rFonts w:ascii="Aptos" w:hAnsi="Aptos"/>
                <w:b w:val="0"/>
                <w:sz w:val="14"/>
              </w:rPr>
              <w:t>On-premises data centres</w:t>
            </w:r>
          </w:p>
        </w:tc>
        <w:tc>
          <w:tcPr>
            <w:tcW w:type="dxa" w:w="4680"/>
            <w:vAlign w:val="center"/>
          </w:tcPr>
          <w:p>
            <w:pPr>
              <w:spacing w:after="20"/>
            </w:pPr>
            <w:r>
              <w:rPr>
                <w:rFonts w:ascii="Aptos" w:hAnsi="Aptos"/>
                <w:b w:val="0"/>
                <w:sz w:val="14"/>
              </w:rPr>
              <w:t>Include facilities and systems that host in-scope information or services.</w:t>
            </w:r>
          </w:p>
        </w:tc>
        <w:tc>
          <w:tcPr>
            <w:tcW w:type="dxa" w:w="3888"/>
            <w:vAlign w:val="center"/>
          </w:tcPr>
          <w:p>
            <w:pPr>
              <w:spacing w:after="20"/>
            </w:pPr>
            <w:r>
              <w:rPr>
                <w:rFonts w:ascii="Aptos" w:hAnsi="Aptos"/>
                <w:b w:val="0"/>
                <w:sz w:val="14"/>
              </w:rPr>
              <w:t>Confirm locations, operators and physical security arrangements.</w:t>
            </w:r>
          </w:p>
        </w:tc>
      </w:tr>
      <w:tr>
        <w:tc>
          <w:tcPr>
            <w:tcW w:type="dxa" w:w="2232"/>
            <w:vAlign w:val="center"/>
          </w:tcPr>
          <w:p>
            <w:pPr>
              <w:spacing w:after="20"/>
            </w:pPr>
            <w:r>
              <w:rPr>
                <w:rFonts w:ascii="Aptos" w:hAnsi="Aptos"/>
                <w:b w:val="0"/>
                <w:sz w:val="14"/>
              </w:rPr>
              <w:t>AWS and Microsoft Azure</w:t>
            </w:r>
          </w:p>
        </w:tc>
        <w:tc>
          <w:tcPr>
            <w:tcW w:type="dxa" w:w="4680"/>
            <w:vAlign w:val="center"/>
          </w:tcPr>
          <w:p>
            <w:pPr>
              <w:spacing w:after="20"/>
            </w:pPr>
            <w:r>
              <w:rPr>
                <w:rFonts w:ascii="Aptos" w:hAnsi="Aptos"/>
                <w:b w:val="0"/>
                <w:sz w:val="14"/>
              </w:rPr>
              <w:t>Cloud regions are not treated as BLITZX-owned physical sites; in-scope cloud services and provider interfaces are included.</w:t>
            </w:r>
          </w:p>
        </w:tc>
        <w:tc>
          <w:tcPr>
            <w:tcW w:type="dxa" w:w="3888"/>
            <w:vAlign w:val="center"/>
          </w:tcPr>
          <w:p>
            <w:pPr>
              <w:spacing w:after="20"/>
            </w:pPr>
            <w:r>
              <w:rPr>
                <w:rFonts w:ascii="Aptos" w:hAnsi="Aptos"/>
                <w:b w:val="0"/>
                <w:sz w:val="14"/>
              </w:rPr>
              <w:t>Confirm subscribed services, regions, responsibilities and contracts.</w:t>
            </w:r>
          </w:p>
        </w:tc>
      </w:tr>
      <w:tr>
        <w:tc>
          <w:tcPr>
            <w:tcW w:type="dxa" w:w="2232"/>
            <w:vAlign w:val="center"/>
          </w:tcPr>
          <w:p>
            <w:pPr>
              <w:spacing w:after="20"/>
            </w:pPr>
            <w:r>
              <w:rPr>
                <w:rFonts w:ascii="Aptos" w:hAnsi="Aptos"/>
                <w:b w:val="0"/>
                <w:sz w:val="14"/>
              </w:rPr>
              <w:t>Remote working locations</w:t>
            </w:r>
          </w:p>
        </w:tc>
        <w:tc>
          <w:tcPr>
            <w:tcW w:type="dxa" w:w="4680"/>
            <w:vAlign w:val="center"/>
          </w:tcPr>
          <w:p>
            <w:pPr>
              <w:spacing w:after="20"/>
            </w:pPr>
            <w:r>
              <w:rPr>
                <w:rFonts w:ascii="Aptos" w:hAnsi="Aptos"/>
                <w:b w:val="0"/>
                <w:sz w:val="14"/>
              </w:rPr>
              <w:t>Include remote access and remote-work activities where they process or access in-scope information.</w:t>
            </w:r>
          </w:p>
        </w:tc>
        <w:tc>
          <w:tcPr>
            <w:tcW w:type="dxa" w:w="3888"/>
            <w:vAlign w:val="center"/>
          </w:tcPr>
          <w:p>
            <w:pPr>
              <w:spacing w:after="20"/>
            </w:pPr>
            <w:r>
              <w:rPr>
                <w:rFonts w:ascii="Aptos" w:hAnsi="Aptos"/>
                <w:b w:val="0"/>
                <w:sz w:val="14"/>
              </w:rPr>
              <w:t>Confirm whether remote work is permitted and the applicable controls.</w:t>
            </w:r>
          </w:p>
        </w:tc>
      </w:tr>
    </w:tbl>
    <w:p/>
    <w:p>
      <w:pPr>
        <w:pStyle w:val="Heading1"/>
      </w:pPr>
      <w:r>
        <w:t>4.3 ICT Scope</w:t>
      </w:r>
    </w:p>
    <w:p>
      <w:r>
        <w:t>The proposed ICT scope includes information systems and technology that store, process, transmit or protect information used by the in-scope functions. Based on the company profile, candidate systems include:</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pPr>
              <w:spacing w:after="20"/>
            </w:pPr>
            <w:r>
              <w:rPr>
                <w:rFonts w:ascii="Aptos" w:hAnsi="Aptos"/>
                <w:b/>
                <w:sz w:val="16"/>
              </w:rPr>
              <w:t>ICT Asset / Platform</w:t>
            </w:r>
          </w:p>
        </w:tc>
        <w:tc>
          <w:tcPr>
            <w:tcW w:type="dxa" w:w="7632"/>
            <w:vAlign w:val="center"/>
            <w:shd w:fill="D9EAF7"/>
          </w:tcPr>
          <w:p>
            <w:pPr>
              <w:spacing w:after="20"/>
            </w:pPr>
            <w:r>
              <w:rPr>
                <w:rFonts w:ascii="Aptos" w:hAnsi="Aptos"/>
                <w:b/>
                <w:sz w:val="16"/>
              </w:rPr>
              <w:t>Purpose / Scope Relevance</w:t>
            </w:r>
          </w:p>
        </w:tc>
      </w:tr>
      <w:tr>
        <w:tc>
          <w:tcPr>
            <w:tcW w:type="dxa" w:w="3168"/>
            <w:vAlign w:val="center"/>
          </w:tcPr>
          <w:p>
            <w:pPr>
              <w:spacing w:after="20"/>
            </w:pPr>
            <w:r>
              <w:rPr>
                <w:rFonts w:ascii="Aptos" w:hAnsi="Aptos"/>
                <w:b w:val="0"/>
                <w:sz w:val="16"/>
              </w:rPr>
              <w:t>SAP S/4HANA</w:t>
            </w:r>
          </w:p>
        </w:tc>
        <w:tc>
          <w:tcPr>
            <w:tcW w:type="dxa" w:w="7632"/>
            <w:vAlign w:val="center"/>
          </w:tcPr>
          <w:p>
            <w:pPr>
              <w:spacing w:after="20"/>
            </w:pPr>
            <w:r>
              <w:rPr>
                <w:rFonts w:ascii="Aptos" w:hAnsi="Aptos"/>
                <w:b w:val="0"/>
                <w:sz w:val="16"/>
              </w:rPr>
              <w:t>ERP supporting business and operational records, subject to validation of deployed modules.</w:t>
            </w:r>
          </w:p>
        </w:tc>
      </w:tr>
      <w:tr>
        <w:tc>
          <w:tcPr>
            <w:tcW w:type="dxa" w:w="3168"/>
            <w:vAlign w:val="center"/>
          </w:tcPr>
          <w:p>
            <w:pPr>
              <w:spacing w:after="20"/>
            </w:pPr>
            <w:r>
              <w:rPr>
                <w:rFonts w:ascii="Aptos" w:hAnsi="Aptos"/>
                <w:b w:val="0"/>
                <w:sz w:val="16"/>
              </w:rPr>
              <w:t>Salesforce</w:t>
            </w:r>
          </w:p>
        </w:tc>
        <w:tc>
          <w:tcPr>
            <w:tcW w:type="dxa" w:w="7632"/>
            <w:vAlign w:val="center"/>
          </w:tcPr>
          <w:p>
            <w:pPr>
              <w:spacing w:after="20"/>
            </w:pPr>
            <w:r>
              <w:rPr>
                <w:rFonts w:ascii="Aptos" w:hAnsi="Aptos"/>
                <w:b w:val="0"/>
                <w:sz w:val="16"/>
              </w:rPr>
              <w:t>Customer relationship management and related customer/business information.</w:t>
            </w:r>
          </w:p>
        </w:tc>
      </w:tr>
      <w:tr>
        <w:tc>
          <w:tcPr>
            <w:tcW w:type="dxa" w:w="3168"/>
            <w:vAlign w:val="center"/>
          </w:tcPr>
          <w:p>
            <w:pPr>
              <w:spacing w:after="20"/>
            </w:pPr>
            <w:r>
              <w:rPr>
                <w:rFonts w:ascii="Aptos" w:hAnsi="Aptos"/>
                <w:b w:val="0"/>
                <w:sz w:val="16"/>
              </w:rPr>
              <w:t>Siemens Teamcenter</w:t>
            </w:r>
          </w:p>
        </w:tc>
        <w:tc>
          <w:tcPr>
            <w:tcW w:type="dxa" w:w="7632"/>
            <w:vAlign w:val="center"/>
          </w:tcPr>
          <w:p>
            <w:pPr>
              <w:spacing w:after="20"/>
            </w:pPr>
            <w:r>
              <w:rPr>
                <w:rFonts w:ascii="Aptos" w:hAnsi="Aptos"/>
                <w:b w:val="0"/>
                <w:sz w:val="16"/>
              </w:rPr>
              <w:t>Product lifecycle management and engineering/product information.</w:t>
            </w:r>
          </w:p>
        </w:tc>
      </w:tr>
      <w:tr>
        <w:tc>
          <w:tcPr>
            <w:tcW w:type="dxa" w:w="3168"/>
            <w:vAlign w:val="center"/>
          </w:tcPr>
          <w:p>
            <w:pPr>
              <w:spacing w:after="20"/>
            </w:pPr>
            <w:r>
              <w:rPr>
                <w:rFonts w:ascii="Aptos" w:hAnsi="Aptos"/>
                <w:b w:val="0"/>
                <w:sz w:val="16"/>
              </w:rPr>
              <w:t>Rockwell Automation FactoryTalk</w:t>
            </w:r>
          </w:p>
        </w:tc>
        <w:tc>
          <w:tcPr>
            <w:tcW w:type="dxa" w:w="7632"/>
            <w:vAlign w:val="center"/>
          </w:tcPr>
          <w:p>
            <w:pPr>
              <w:spacing w:after="20"/>
            </w:pPr>
            <w:r>
              <w:rPr>
                <w:rFonts w:ascii="Aptos" w:hAnsi="Aptos"/>
                <w:b w:val="0"/>
                <w:sz w:val="16"/>
              </w:rPr>
              <w:t>Manufacturing execution and production-supporting information/technology.</w:t>
            </w:r>
          </w:p>
        </w:tc>
      </w:tr>
      <w:tr>
        <w:tc>
          <w:tcPr>
            <w:tcW w:type="dxa" w:w="3168"/>
            <w:vAlign w:val="center"/>
          </w:tcPr>
          <w:p>
            <w:pPr>
              <w:spacing w:after="20"/>
            </w:pPr>
            <w:r>
              <w:rPr>
                <w:rFonts w:ascii="Aptos" w:hAnsi="Aptos"/>
                <w:b w:val="0"/>
                <w:sz w:val="16"/>
              </w:rPr>
              <w:t>Microsoft Power BI</w:t>
            </w:r>
          </w:p>
        </w:tc>
        <w:tc>
          <w:tcPr>
            <w:tcW w:type="dxa" w:w="7632"/>
            <w:vAlign w:val="center"/>
          </w:tcPr>
          <w:p>
            <w:pPr>
              <w:spacing w:after="20"/>
            </w:pPr>
            <w:r>
              <w:rPr>
                <w:rFonts w:ascii="Aptos" w:hAnsi="Aptos"/>
                <w:b w:val="0"/>
                <w:sz w:val="16"/>
              </w:rPr>
              <w:t>Business intelligence and reporting, including data sources and access paths.</w:t>
            </w:r>
          </w:p>
        </w:tc>
      </w:tr>
      <w:tr>
        <w:tc>
          <w:tcPr>
            <w:tcW w:type="dxa" w:w="3168"/>
            <w:vAlign w:val="center"/>
          </w:tcPr>
          <w:p>
            <w:pPr>
              <w:spacing w:after="20"/>
            </w:pPr>
            <w:r>
              <w:rPr>
                <w:rFonts w:ascii="Aptos" w:hAnsi="Aptos"/>
                <w:b w:val="0"/>
                <w:sz w:val="16"/>
              </w:rPr>
              <w:t>ServiceNow</w:t>
            </w:r>
          </w:p>
        </w:tc>
        <w:tc>
          <w:tcPr>
            <w:tcW w:type="dxa" w:w="7632"/>
            <w:vAlign w:val="center"/>
          </w:tcPr>
          <w:p>
            <w:pPr>
              <w:spacing w:after="20"/>
            </w:pPr>
            <w:r>
              <w:rPr>
                <w:rFonts w:ascii="Aptos" w:hAnsi="Aptos"/>
                <w:b w:val="0"/>
                <w:sz w:val="16"/>
              </w:rPr>
              <w:t>IT service management and related service records/workflows.</w:t>
            </w:r>
          </w:p>
        </w:tc>
      </w:tr>
      <w:tr>
        <w:tc>
          <w:tcPr>
            <w:tcW w:type="dxa" w:w="3168"/>
            <w:vAlign w:val="center"/>
          </w:tcPr>
          <w:p>
            <w:pPr>
              <w:spacing w:after="20"/>
            </w:pPr>
            <w:r>
              <w:rPr>
                <w:rFonts w:ascii="Aptos" w:hAnsi="Aptos"/>
                <w:b w:val="0"/>
                <w:sz w:val="16"/>
              </w:rPr>
              <w:t>AWS and Microsoft Azure</w:t>
            </w:r>
          </w:p>
        </w:tc>
        <w:tc>
          <w:tcPr>
            <w:tcW w:type="dxa" w:w="7632"/>
            <w:vAlign w:val="center"/>
          </w:tcPr>
          <w:p>
            <w:pPr>
              <w:spacing w:after="20"/>
            </w:pPr>
            <w:r>
              <w:rPr>
                <w:rFonts w:ascii="Aptos" w:hAnsi="Aptos"/>
                <w:b w:val="0"/>
                <w:sz w:val="16"/>
              </w:rPr>
              <w:t>Cloud infrastructure and services used by in-scope systems, subject to confirmation of actual services.</w:t>
            </w:r>
          </w:p>
        </w:tc>
      </w:tr>
      <w:tr>
        <w:tc>
          <w:tcPr>
            <w:tcW w:type="dxa" w:w="3168"/>
            <w:vAlign w:val="center"/>
          </w:tcPr>
          <w:p>
            <w:pPr>
              <w:spacing w:after="20"/>
            </w:pPr>
            <w:r>
              <w:rPr>
                <w:rFonts w:ascii="Aptos" w:hAnsi="Aptos"/>
                <w:b w:val="0"/>
                <w:sz w:val="16"/>
              </w:rPr>
              <w:t>On-premises data centres and networks</w:t>
            </w:r>
          </w:p>
        </w:tc>
        <w:tc>
          <w:tcPr>
            <w:tcW w:type="dxa" w:w="7632"/>
            <w:vAlign w:val="center"/>
          </w:tcPr>
          <w:p>
            <w:pPr>
              <w:spacing w:after="20"/>
            </w:pPr>
            <w:r>
              <w:rPr>
                <w:rFonts w:ascii="Aptos" w:hAnsi="Aptos"/>
                <w:b w:val="0"/>
                <w:sz w:val="16"/>
              </w:rPr>
              <w:t>Servers, storage, network equipment, firewalls, endpoints, backup and connectivity supporting in-scope systems.</w:t>
            </w:r>
          </w:p>
        </w:tc>
      </w:tr>
      <w:tr>
        <w:tc>
          <w:tcPr>
            <w:tcW w:type="dxa" w:w="3168"/>
            <w:vAlign w:val="center"/>
          </w:tcPr>
          <w:p>
            <w:pPr>
              <w:spacing w:after="20"/>
            </w:pPr>
            <w:r>
              <w:rPr>
                <w:rFonts w:ascii="Aptos" w:hAnsi="Aptos"/>
                <w:b w:val="0"/>
                <w:sz w:val="16"/>
              </w:rPr>
              <w:t>Identity, email and collaboration services</w:t>
            </w:r>
          </w:p>
        </w:tc>
        <w:tc>
          <w:tcPr>
            <w:tcW w:type="dxa" w:w="7632"/>
            <w:vAlign w:val="center"/>
          </w:tcPr>
          <w:p>
            <w:pPr>
              <w:spacing w:after="20"/>
            </w:pPr>
            <w:r>
              <w:rPr>
                <w:rFonts w:ascii="Aptos" w:hAnsi="Aptos"/>
                <w:b w:val="0"/>
                <w:sz w:val="16"/>
              </w:rPr>
              <w:t>User identities, authentication, email and collaboration systems used by in-scope personnel; exact platforms to be confirmed.</w:t>
            </w:r>
          </w:p>
        </w:tc>
      </w:tr>
      <w:tr>
        <w:tc>
          <w:tcPr>
            <w:tcW w:type="dxa" w:w="3168"/>
            <w:vAlign w:val="center"/>
          </w:tcPr>
          <w:p>
            <w:pPr>
              <w:spacing w:after="20"/>
            </w:pPr>
            <w:r>
              <w:rPr>
                <w:rFonts w:ascii="Aptos" w:hAnsi="Aptos"/>
                <w:b w:val="0"/>
                <w:sz w:val="16"/>
              </w:rPr>
              <w:t>Databases, file stores and backups</w:t>
            </w:r>
          </w:p>
        </w:tc>
        <w:tc>
          <w:tcPr>
            <w:tcW w:type="dxa" w:w="7632"/>
            <w:vAlign w:val="center"/>
          </w:tcPr>
          <w:p>
            <w:pPr>
              <w:spacing w:after="20"/>
            </w:pPr>
            <w:r>
              <w:rPr>
                <w:rFonts w:ascii="Aptos" w:hAnsi="Aptos"/>
                <w:b w:val="0"/>
                <w:sz w:val="16"/>
              </w:rPr>
              <w:t>Repositories that store, process, transmit or recover in-scope business and engineering information.</w:t>
            </w:r>
          </w:p>
        </w:tc>
      </w:tr>
    </w:tbl>
    <w:p/>
    <w:p>
      <w:pPr>
        <w:pStyle w:val="Heading1"/>
      </w:pPr>
      <w:r>
        <w:t>4.4 Interfaces and Dependencies</w:t>
      </w:r>
    </w:p>
    <w:p>
      <w:r>
        <w:t>The ISMS boundary must account for interfaces between corporate IT, engineering systems, manufacturing-supporting technology, cloud services, on-premises infrastructure, suppliers, customers and distribution partners. Relevant interfaces may include user access, system integrations, data transfers, remote administration, vendor support and backup/recovery connections. Specific network paths, data flows, ownership and security responsibilities must be documented during implementation; they are not assumed to be verified in this draft.</w:t>
      </w:r>
    </w:p>
    <w:p>
      <w:pPr>
        <w:pStyle w:val="Heading1"/>
      </w:pPr>
      <w:r>
        <w:t>4.5 Third-Party Boundaries</w:t>
      </w:r>
    </w:p>
    <w:p>
      <w:r>
        <w:t>Third-party services that support in-scope activities include AWS, Microsoft Azure, enterprise software providers and industrial technology vendors identified in the company profile. The ISMS does not assume that provider-owned infrastructure is directly controlled by BLITZX. Instead, the scope includes BLITZX's use of these services, its configuration and access responsibilities, supplier-risk management, contractual requirements, incident coordination and oversight of applicable shared-responsibility arrangements.</w:t>
      </w:r>
    </w:p>
    <w:p>
      <w:pPr>
        <w:pStyle w:val="Heading1"/>
      </w:pPr>
      <w:r>
        <w:t>4.6 Exclusions and Boundary Justification</w:t>
      </w:r>
    </w:p>
    <w:p>
      <w:r>
        <w:t>No specific business unit, site, system or process is declared excluded in this draft. Exclusions must not be used to avoid applicable information-security requirements or leave critical dependencies unmanaged. Before approval, BLITZX should document any proposed exclusions, the reasons for them, and how interfaces or risks affecting the ISMS will be controlled.</w:t>
      </w:r>
    </w:p>
    <w:p>
      <w:pPr>
        <w:pStyle w:val="Heading1"/>
      </w:pPr>
      <w:r>
        <w:t>5. Scope Review and Approval</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D9EAF7"/>
          </w:tcPr>
          <w:p>
            <w:pPr>
              <w:spacing w:after="20"/>
            </w:pPr>
            <w:r>
              <w:rPr>
                <w:rFonts w:ascii="Aptos" w:hAnsi="Aptos"/>
                <w:b/>
                <w:sz w:val="16"/>
              </w:rPr>
              <w:t>Role</w:t>
            </w:r>
          </w:p>
        </w:tc>
        <w:tc>
          <w:tcPr>
            <w:tcW w:type="dxa" w:w="6624"/>
            <w:vAlign w:val="center"/>
            <w:shd w:fill="D9EAF7"/>
          </w:tcPr>
          <w:p>
            <w:pPr>
              <w:spacing w:after="20"/>
            </w:pPr>
            <w:r>
              <w:rPr>
                <w:rFonts w:ascii="Aptos" w:hAnsi="Aptos"/>
                <w:b/>
                <w:sz w:val="16"/>
              </w:rPr>
              <w:t>Responsibility</w:t>
            </w:r>
          </w:p>
        </w:tc>
        <w:tc>
          <w:tcPr>
            <w:tcW w:type="dxa" w:w="1584"/>
            <w:vAlign w:val="center"/>
            <w:shd w:fill="D9EAF7"/>
          </w:tcPr>
          <w:p>
            <w:pPr>
              <w:spacing w:after="20"/>
            </w:pPr>
            <w:r>
              <w:rPr>
                <w:rFonts w:ascii="Aptos" w:hAnsi="Aptos"/>
                <w:b/>
                <w:sz w:val="16"/>
              </w:rPr>
              <w:t>Status</w:t>
            </w:r>
          </w:p>
        </w:tc>
      </w:tr>
      <w:tr>
        <w:tc>
          <w:tcPr>
            <w:tcW w:type="dxa" w:w="2592"/>
            <w:vAlign w:val="center"/>
          </w:tcPr>
          <w:p>
            <w:pPr>
              <w:spacing w:after="20"/>
            </w:pPr>
            <w:r>
              <w:rPr>
                <w:rFonts w:ascii="Aptos" w:hAnsi="Aptos"/>
                <w:b w:val="0"/>
                <w:sz w:val="16"/>
              </w:rPr>
              <w:t>GRC Analyst</w:t>
            </w:r>
          </w:p>
        </w:tc>
        <w:tc>
          <w:tcPr>
            <w:tcW w:type="dxa" w:w="6624"/>
            <w:vAlign w:val="center"/>
          </w:tcPr>
          <w:p>
            <w:pPr>
              <w:spacing w:after="20"/>
            </w:pPr>
            <w:r>
              <w:rPr>
                <w:rFonts w:ascii="Aptos" w:hAnsi="Aptos"/>
                <w:b w:val="0"/>
                <w:sz w:val="16"/>
              </w:rPr>
              <w:t>Prepare the scope proposal and supporting rationale.</w:t>
            </w:r>
          </w:p>
        </w:tc>
        <w:tc>
          <w:tcPr>
            <w:tcW w:type="dxa" w:w="1584"/>
            <w:vAlign w:val="center"/>
          </w:tcPr>
          <w:p>
            <w:pPr>
              <w:spacing w:after="20"/>
            </w:pPr>
            <w:r>
              <w:rPr>
                <w:rFonts w:ascii="Aptos" w:hAnsi="Aptos"/>
                <w:b w:val="0"/>
                <w:sz w:val="16"/>
              </w:rPr>
              <w:t>Draft prepared</w:t>
            </w:r>
          </w:p>
        </w:tc>
      </w:tr>
      <w:tr>
        <w:tc>
          <w:tcPr>
            <w:tcW w:type="dxa" w:w="2592"/>
            <w:vAlign w:val="center"/>
          </w:tcPr>
          <w:p>
            <w:pPr>
              <w:spacing w:after="20"/>
            </w:pPr>
            <w:r>
              <w:rPr>
                <w:rFonts w:ascii="Aptos" w:hAnsi="Aptos"/>
                <w:b w:val="0"/>
                <w:sz w:val="16"/>
              </w:rPr>
              <w:t>IT / Information Security Lead</w:t>
            </w:r>
          </w:p>
        </w:tc>
        <w:tc>
          <w:tcPr>
            <w:tcW w:type="dxa" w:w="6624"/>
            <w:vAlign w:val="center"/>
          </w:tcPr>
          <w:p>
            <w:pPr>
              <w:spacing w:after="20"/>
            </w:pPr>
            <w:r>
              <w:rPr>
                <w:rFonts w:ascii="Aptos" w:hAnsi="Aptos"/>
                <w:b w:val="0"/>
                <w:sz w:val="16"/>
              </w:rPr>
              <w:t>Validate systems, networks, cloud services, interfaces and control responsibilities.</w:t>
            </w:r>
          </w:p>
        </w:tc>
        <w:tc>
          <w:tcPr>
            <w:tcW w:type="dxa" w:w="1584"/>
            <w:vAlign w:val="center"/>
          </w:tcPr>
          <w:p>
            <w:pPr>
              <w:spacing w:after="20"/>
            </w:pPr>
            <w:r>
              <w:rPr>
                <w:rFonts w:ascii="Aptos" w:hAnsi="Aptos"/>
                <w:b w:val="0"/>
                <w:sz w:val="16"/>
              </w:rPr>
              <w:t>Pending</w:t>
            </w:r>
          </w:p>
        </w:tc>
      </w:tr>
      <w:tr>
        <w:tc>
          <w:tcPr>
            <w:tcW w:type="dxa" w:w="2592"/>
            <w:vAlign w:val="center"/>
          </w:tcPr>
          <w:p>
            <w:pPr>
              <w:spacing w:after="20"/>
            </w:pPr>
            <w:r>
              <w:rPr>
                <w:rFonts w:ascii="Aptos" w:hAnsi="Aptos"/>
                <w:b w:val="0"/>
                <w:sz w:val="16"/>
              </w:rPr>
              <w:t>Business Division Representatives</w:t>
            </w:r>
          </w:p>
        </w:tc>
        <w:tc>
          <w:tcPr>
            <w:tcW w:type="dxa" w:w="6624"/>
            <w:vAlign w:val="center"/>
          </w:tcPr>
          <w:p>
            <w:pPr>
              <w:spacing w:after="20"/>
            </w:pPr>
            <w:r>
              <w:rPr>
                <w:rFonts w:ascii="Aptos" w:hAnsi="Aptos"/>
                <w:b w:val="0"/>
                <w:sz w:val="16"/>
              </w:rPr>
              <w:t>Validate business processes, sites and operational dependencies.</w:t>
            </w:r>
          </w:p>
        </w:tc>
        <w:tc>
          <w:tcPr>
            <w:tcW w:type="dxa" w:w="1584"/>
            <w:vAlign w:val="center"/>
          </w:tcPr>
          <w:p>
            <w:pPr>
              <w:spacing w:after="20"/>
            </w:pPr>
            <w:r>
              <w:rPr>
                <w:rFonts w:ascii="Aptos" w:hAnsi="Aptos"/>
                <w:b w:val="0"/>
                <w:sz w:val="16"/>
              </w:rPr>
              <w:t>Pending</w:t>
            </w:r>
          </w:p>
        </w:tc>
      </w:tr>
      <w:tr>
        <w:tc>
          <w:tcPr>
            <w:tcW w:type="dxa" w:w="2592"/>
            <w:vAlign w:val="center"/>
          </w:tcPr>
          <w:p>
            <w:pPr>
              <w:spacing w:after="20"/>
            </w:pPr>
            <w:r>
              <w:rPr>
                <w:rFonts w:ascii="Aptos" w:hAnsi="Aptos"/>
                <w:b w:val="0"/>
                <w:sz w:val="16"/>
              </w:rPr>
              <w:t>ISMS Manager / Senior Management</w:t>
            </w:r>
          </w:p>
        </w:tc>
        <w:tc>
          <w:tcPr>
            <w:tcW w:type="dxa" w:w="6624"/>
            <w:vAlign w:val="center"/>
          </w:tcPr>
          <w:p>
            <w:pPr>
              <w:spacing w:after="20"/>
            </w:pPr>
            <w:r>
              <w:rPr>
                <w:rFonts w:ascii="Aptos" w:hAnsi="Aptos"/>
                <w:b w:val="0"/>
                <w:sz w:val="16"/>
              </w:rPr>
              <w:t>Review and approve the final ISMS boundary and resources.</w:t>
            </w:r>
          </w:p>
        </w:tc>
        <w:tc>
          <w:tcPr>
            <w:tcW w:type="dxa" w:w="1584"/>
            <w:vAlign w:val="center"/>
          </w:tcPr>
          <w:p>
            <w:pPr>
              <w:spacing w:after="20"/>
            </w:pPr>
            <w:r>
              <w:rPr>
                <w:rFonts w:ascii="Aptos" w:hAnsi="Aptos"/>
                <w:b w:val="0"/>
                <w:sz w:val="16"/>
              </w:rPr>
              <w:t>Pending</w:t>
            </w:r>
          </w:p>
        </w:tc>
      </w:tr>
    </w:tbl>
    <w:p/>
    <w:p>
      <w:pPr>
        <w:pStyle w:val="Heading1"/>
      </w:pPr>
      <w:r>
        <w:t>Portfolio Note</w:t>
      </w:r>
    </w:p>
    <w:p>
      <w:r>
        <w:t>This is a proposed scope for a fictional BLITZX Engineering portfolio case study based on the provided company profile. Site and system details not established by the profile are explicitly marked for validation. The document does not claim that an ISMS has been implemented, audited or certified.</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BLITZX Engineering | ISMS-SCOPE-001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BLITZX ENGINEERING | INFORMATION SECURITY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