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4"/>
        </w:rPr>
        <w:t>INTERESTED PARTIES REGISTER</w:t>
      </w:r>
    </w:p>
    <w:p>
      <w:pPr>
        <w:jc w:val="center"/>
      </w:pPr>
      <w:r>
        <w:rPr>
          <w:i/>
          <w:sz w:val="24"/>
        </w:rPr>
        <w:t>ISO/IEC 27001:2022 | Clause 4.2</w:t>
      </w:r>
    </w:p>
    <w:p>
      <w:pPr>
        <w:pStyle w:val="Heading1"/>
      </w:pPr>
      <w:r>
        <w:t>Document Control</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pPr>
              <w:spacing w:after="20"/>
            </w:pPr>
            <w:r>
              <w:rPr>
                <w:rFonts w:ascii="Aptos" w:hAnsi="Aptos"/>
                <w:b/>
                <w:sz w:val="18"/>
              </w:rPr>
              <w:t>Field</w:t>
            </w:r>
          </w:p>
        </w:tc>
        <w:tc>
          <w:tcPr>
            <w:tcW w:type="dxa" w:w="8064"/>
            <w:vAlign w:val="center"/>
            <w:shd w:fill="D9EAF7"/>
          </w:tcPr>
          <w:p>
            <w:pPr>
              <w:spacing w:after="20"/>
            </w:pPr>
            <w:r>
              <w:rPr>
                <w:rFonts w:ascii="Aptos" w:hAnsi="Aptos"/>
                <w:b/>
                <w:sz w:val="18"/>
              </w:rPr>
              <w:t>Value</w:t>
            </w:r>
          </w:p>
        </w:tc>
      </w:tr>
      <w:tr>
        <w:tc>
          <w:tcPr>
            <w:tcW w:type="dxa" w:w="2880"/>
            <w:vAlign w:val="center"/>
          </w:tcPr>
          <w:p>
            <w:pPr>
              <w:spacing w:after="20"/>
            </w:pPr>
            <w:r>
              <w:rPr>
                <w:rFonts w:ascii="Aptos" w:hAnsi="Aptos"/>
                <w:b w:val="0"/>
                <w:sz w:val="18"/>
              </w:rPr>
              <w:t>Organization</w:t>
            </w:r>
          </w:p>
        </w:tc>
        <w:tc>
          <w:tcPr>
            <w:tcW w:type="dxa" w:w="8064"/>
            <w:vAlign w:val="center"/>
          </w:tcPr>
          <w:p>
            <w:pPr>
              <w:spacing w:after="20"/>
            </w:pPr>
            <w:r>
              <w:rPr>
                <w:rFonts w:ascii="Aptos" w:hAnsi="Aptos"/>
                <w:b w:val="0"/>
                <w:sz w:val="18"/>
              </w:rPr>
              <w:t>BLITZX Engineering (fictional case study)</w:t>
            </w:r>
          </w:p>
        </w:tc>
      </w:tr>
      <w:tr>
        <w:tc>
          <w:tcPr>
            <w:tcW w:type="dxa" w:w="2880"/>
            <w:vAlign w:val="center"/>
          </w:tcPr>
          <w:p>
            <w:pPr>
              <w:spacing w:after="20"/>
            </w:pPr>
            <w:r>
              <w:rPr>
                <w:rFonts w:ascii="Aptos" w:hAnsi="Aptos"/>
                <w:b w:val="0"/>
                <w:sz w:val="18"/>
              </w:rPr>
              <w:t>Document ID</w:t>
            </w:r>
          </w:p>
        </w:tc>
        <w:tc>
          <w:tcPr>
            <w:tcW w:type="dxa" w:w="8064"/>
            <w:vAlign w:val="center"/>
          </w:tcPr>
          <w:p>
            <w:pPr>
              <w:spacing w:after="20"/>
            </w:pPr>
            <w:r>
              <w:rPr>
                <w:rFonts w:ascii="Aptos" w:hAnsi="Aptos"/>
                <w:b w:val="0"/>
                <w:sz w:val="18"/>
              </w:rPr>
              <w:t>ISMS-CTX-002</w:t>
            </w:r>
          </w:p>
        </w:tc>
      </w:tr>
      <w:tr>
        <w:tc>
          <w:tcPr>
            <w:tcW w:type="dxa" w:w="2880"/>
            <w:vAlign w:val="center"/>
          </w:tcPr>
          <w:p>
            <w:pPr>
              <w:spacing w:after="20"/>
            </w:pPr>
            <w:r>
              <w:rPr>
                <w:rFonts w:ascii="Aptos" w:hAnsi="Aptos"/>
                <w:b w:val="0"/>
                <w:sz w:val="18"/>
              </w:rPr>
              <w:t>Document Owner</w:t>
            </w:r>
          </w:p>
        </w:tc>
        <w:tc>
          <w:tcPr>
            <w:tcW w:type="dxa" w:w="8064"/>
            <w:vAlign w:val="center"/>
          </w:tcPr>
          <w:p>
            <w:pPr>
              <w:spacing w:after="20"/>
            </w:pPr>
            <w:r>
              <w:rPr>
                <w:rFonts w:ascii="Aptos" w:hAnsi="Aptos"/>
                <w:b w:val="0"/>
                <w:sz w:val="18"/>
              </w:rPr>
              <w:t>ISMS Manager (proposed role)</w:t>
            </w:r>
          </w:p>
        </w:tc>
      </w:tr>
      <w:tr>
        <w:tc>
          <w:tcPr>
            <w:tcW w:type="dxa" w:w="2880"/>
            <w:vAlign w:val="center"/>
          </w:tcPr>
          <w:p>
            <w:pPr>
              <w:spacing w:after="20"/>
            </w:pPr>
            <w:r>
              <w:rPr>
                <w:rFonts w:ascii="Aptos" w:hAnsi="Aptos"/>
                <w:b w:val="0"/>
                <w:sz w:val="18"/>
              </w:rPr>
              <w:t>Prepared By</w:t>
            </w:r>
          </w:p>
        </w:tc>
        <w:tc>
          <w:tcPr>
            <w:tcW w:type="dxa" w:w="8064"/>
            <w:vAlign w:val="center"/>
          </w:tcPr>
          <w:p>
            <w:pPr>
              <w:spacing w:after="20"/>
            </w:pPr>
            <w:r>
              <w:rPr>
                <w:rFonts w:ascii="Aptos" w:hAnsi="Aptos"/>
                <w:b w:val="0"/>
                <w:sz w:val="18"/>
              </w:rPr>
              <w:t>GRC Analyst — Portfolio Project</w:t>
            </w:r>
          </w:p>
        </w:tc>
      </w:tr>
      <w:tr>
        <w:tc>
          <w:tcPr>
            <w:tcW w:type="dxa" w:w="2880"/>
            <w:vAlign w:val="center"/>
          </w:tcPr>
          <w:p>
            <w:pPr>
              <w:spacing w:after="20"/>
            </w:pPr>
            <w:r>
              <w:rPr>
                <w:rFonts w:ascii="Aptos" w:hAnsi="Aptos"/>
                <w:b w:val="0"/>
                <w:sz w:val="18"/>
              </w:rPr>
              <w:t>Version</w:t>
            </w:r>
          </w:p>
        </w:tc>
        <w:tc>
          <w:tcPr>
            <w:tcW w:type="dxa" w:w="8064"/>
            <w:vAlign w:val="center"/>
          </w:tcPr>
          <w:p>
            <w:pPr>
              <w:spacing w:after="20"/>
            </w:pPr>
            <w:r>
              <w:rPr>
                <w:rFonts w:ascii="Aptos" w:hAnsi="Aptos"/>
                <w:b w:val="0"/>
                <w:sz w:val="18"/>
              </w:rPr>
              <w:t>1.0</w:t>
            </w:r>
          </w:p>
        </w:tc>
      </w:tr>
      <w:tr>
        <w:tc>
          <w:tcPr>
            <w:tcW w:type="dxa" w:w="2880"/>
            <w:vAlign w:val="center"/>
          </w:tcPr>
          <w:p>
            <w:pPr>
              <w:spacing w:after="20"/>
            </w:pPr>
            <w:r>
              <w:rPr>
                <w:rFonts w:ascii="Aptos" w:hAnsi="Aptos"/>
                <w:b w:val="0"/>
                <w:sz w:val="18"/>
              </w:rPr>
              <w:t>Date</w:t>
            </w:r>
          </w:p>
        </w:tc>
        <w:tc>
          <w:tcPr>
            <w:tcW w:type="dxa" w:w="8064"/>
            <w:vAlign w:val="center"/>
          </w:tcPr>
          <w:p>
            <w:pPr>
              <w:spacing w:after="20"/>
            </w:pPr>
            <w:r>
              <w:rPr>
                <w:rFonts w:ascii="Aptos" w:hAnsi="Aptos"/>
                <w:b w:val="0"/>
                <w:sz w:val="18"/>
              </w:rPr>
              <w:t>14 October 2026</w:t>
            </w:r>
          </w:p>
        </w:tc>
      </w:tr>
      <w:tr>
        <w:tc>
          <w:tcPr>
            <w:tcW w:type="dxa" w:w="2880"/>
            <w:vAlign w:val="center"/>
          </w:tcPr>
          <w:p>
            <w:pPr>
              <w:spacing w:after="20"/>
            </w:pPr>
            <w:r>
              <w:rPr>
                <w:rFonts w:ascii="Aptos" w:hAnsi="Aptos"/>
                <w:b w:val="0"/>
                <w:sz w:val="18"/>
              </w:rPr>
              <w:t>Classification</w:t>
            </w:r>
          </w:p>
        </w:tc>
        <w:tc>
          <w:tcPr>
            <w:tcW w:type="dxa" w:w="8064"/>
            <w:vAlign w:val="center"/>
          </w:tcPr>
          <w:p>
            <w:pPr>
              <w:spacing w:after="20"/>
            </w:pPr>
            <w:r>
              <w:rPr>
                <w:rFonts w:ascii="Aptos" w:hAnsi="Aptos"/>
                <w:b w:val="0"/>
                <w:sz w:val="18"/>
              </w:rPr>
              <w:t>Internal — portfolio example</w:t>
            </w:r>
          </w:p>
        </w:tc>
      </w:tr>
      <w:tr>
        <w:tc>
          <w:tcPr>
            <w:tcW w:type="dxa" w:w="2880"/>
            <w:vAlign w:val="center"/>
          </w:tcPr>
          <w:p>
            <w:pPr>
              <w:spacing w:after="20"/>
            </w:pPr>
            <w:r>
              <w:rPr>
                <w:rFonts w:ascii="Aptos" w:hAnsi="Aptos"/>
                <w:b w:val="0"/>
                <w:sz w:val="18"/>
              </w:rPr>
              <w:t>Status</w:t>
            </w:r>
          </w:p>
        </w:tc>
        <w:tc>
          <w:tcPr>
            <w:tcW w:type="dxa" w:w="8064"/>
            <w:vAlign w:val="center"/>
          </w:tcPr>
          <w:p>
            <w:pPr>
              <w:spacing w:after="20"/>
            </w:pPr>
            <w:r>
              <w:rPr>
                <w:rFonts w:ascii="Aptos" w:hAnsi="Aptos"/>
                <w:b w:val="0"/>
                <w:sz w:val="18"/>
              </w:rPr>
              <w:t>Draft — not reviewed or approved</w:t>
            </w:r>
          </w:p>
        </w:tc>
      </w:tr>
    </w:tbl>
    <w:p/>
    <w:p>
      <w:pPr>
        <w:pStyle w:val="Heading1"/>
      </w:pPr>
      <w:r>
        <w:t>1. Purpose and Scope</w:t>
      </w:r>
    </w:p>
    <w:p>
      <w:r>
        <w:t>This register identifies internal and external interested parties relevant to the BLITZX Engineering Information Security Management System (ISMS), records their information-security requirements and expectations, and prioritizes engagement according to their power and interest. This is a fictional portfolio case study; stakeholder requirements and ratings are proposed assumptions to be validated.</w:t>
      </w:r>
    </w:p>
    <w:p>
      <w:pPr>
        <w:pStyle w:val="Heading1"/>
      </w:pPr>
      <w:r>
        <w:t>2. Terms and Definitions</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D9EAF7"/>
          </w:tcPr>
          <w:p>
            <w:pPr>
              <w:spacing w:after="20"/>
            </w:pPr>
            <w:r>
              <w:rPr>
                <w:rFonts w:ascii="Aptos" w:hAnsi="Aptos"/>
                <w:b/>
                <w:sz w:val="16"/>
              </w:rPr>
              <w:t>Term</w:t>
            </w:r>
          </w:p>
        </w:tc>
        <w:tc>
          <w:tcPr>
            <w:tcW w:type="dxa" w:w="8064"/>
            <w:vAlign w:val="center"/>
            <w:shd w:fill="D9EAF7"/>
          </w:tcPr>
          <w:p>
            <w:pPr>
              <w:spacing w:after="20"/>
            </w:pPr>
            <w:r>
              <w:rPr>
                <w:rFonts w:ascii="Aptos" w:hAnsi="Aptos"/>
                <w:b/>
                <w:sz w:val="16"/>
              </w:rPr>
              <w:t>Definition</w:t>
            </w:r>
          </w:p>
        </w:tc>
      </w:tr>
      <w:tr>
        <w:tc>
          <w:tcPr>
            <w:tcW w:type="dxa" w:w="2880"/>
            <w:vAlign w:val="center"/>
          </w:tcPr>
          <w:p>
            <w:pPr>
              <w:spacing w:after="20"/>
            </w:pPr>
            <w:r>
              <w:rPr>
                <w:rFonts w:ascii="Aptos" w:hAnsi="Aptos"/>
                <w:b w:val="0"/>
                <w:sz w:val="16"/>
              </w:rPr>
              <w:t>Interested party</w:t>
            </w:r>
          </w:p>
        </w:tc>
        <w:tc>
          <w:tcPr>
            <w:tcW w:type="dxa" w:w="8064"/>
            <w:vAlign w:val="center"/>
          </w:tcPr>
          <w:p>
            <w:pPr>
              <w:spacing w:after="20"/>
            </w:pPr>
            <w:r>
              <w:rPr>
                <w:rFonts w:ascii="Aptos" w:hAnsi="Aptos"/>
                <w:b w:val="0"/>
                <w:sz w:val="16"/>
              </w:rPr>
              <w:t>A person or organization that can affect, be affected by, or perceive itself to be affected by a decision or activity of BLITZX Engineering.</w:t>
            </w:r>
          </w:p>
        </w:tc>
      </w:tr>
      <w:tr>
        <w:tc>
          <w:tcPr>
            <w:tcW w:type="dxa" w:w="2880"/>
            <w:vAlign w:val="center"/>
          </w:tcPr>
          <w:p>
            <w:pPr>
              <w:spacing w:after="20"/>
            </w:pPr>
            <w:r>
              <w:rPr>
                <w:rFonts w:ascii="Aptos" w:hAnsi="Aptos"/>
                <w:b w:val="0"/>
                <w:sz w:val="16"/>
              </w:rPr>
              <w:t>Internal interested party</w:t>
            </w:r>
          </w:p>
        </w:tc>
        <w:tc>
          <w:tcPr>
            <w:tcW w:type="dxa" w:w="8064"/>
            <w:vAlign w:val="center"/>
          </w:tcPr>
          <w:p>
            <w:pPr>
              <w:spacing w:after="20"/>
            </w:pPr>
            <w:r>
              <w:rPr>
                <w:rFonts w:ascii="Aptos" w:hAnsi="Aptos"/>
                <w:b w:val="0"/>
                <w:sz w:val="16"/>
              </w:rPr>
              <w:t>A relevant stakeholder within BLITZX Engineering whose decisions or activities affect, or are affected by, the ISMS.</w:t>
            </w:r>
          </w:p>
        </w:tc>
      </w:tr>
      <w:tr>
        <w:tc>
          <w:tcPr>
            <w:tcW w:type="dxa" w:w="2880"/>
            <w:vAlign w:val="center"/>
          </w:tcPr>
          <w:p>
            <w:pPr>
              <w:spacing w:after="20"/>
            </w:pPr>
            <w:r>
              <w:rPr>
                <w:rFonts w:ascii="Aptos" w:hAnsi="Aptos"/>
                <w:b w:val="0"/>
                <w:sz w:val="16"/>
              </w:rPr>
              <w:t>External interested party</w:t>
            </w:r>
          </w:p>
        </w:tc>
        <w:tc>
          <w:tcPr>
            <w:tcW w:type="dxa" w:w="8064"/>
            <w:vAlign w:val="center"/>
          </w:tcPr>
          <w:p>
            <w:pPr>
              <w:spacing w:after="20"/>
            </w:pPr>
            <w:r>
              <w:rPr>
                <w:rFonts w:ascii="Aptos" w:hAnsi="Aptos"/>
                <w:b w:val="0"/>
                <w:sz w:val="16"/>
              </w:rPr>
              <w:t>A relevant stakeholder outside BLITZX Engineering whose decisions, requirements or activities affect, or are affected by, the ISMS.</w:t>
            </w:r>
          </w:p>
        </w:tc>
      </w:tr>
      <w:tr>
        <w:tc>
          <w:tcPr>
            <w:tcW w:type="dxa" w:w="2880"/>
            <w:vAlign w:val="center"/>
          </w:tcPr>
          <w:p>
            <w:pPr>
              <w:spacing w:after="20"/>
            </w:pPr>
            <w:r>
              <w:rPr>
                <w:rFonts w:ascii="Aptos" w:hAnsi="Aptos"/>
                <w:b w:val="0"/>
                <w:sz w:val="16"/>
              </w:rPr>
              <w:t>Power</w:t>
            </w:r>
          </w:p>
        </w:tc>
        <w:tc>
          <w:tcPr>
            <w:tcW w:type="dxa" w:w="8064"/>
            <w:vAlign w:val="center"/>
          </w:tcPr>
          <w:p>
            <w:pPr>
              <w:spacing w:after="20"/>
            </w:pPr>
            <w:r>
              <w:rPr>
                <w:rFonts w:ascii="Aptos" w:hAnsi="Aptos"/>
                <w:b w:val="0"/>
                <w:sz w:val="16"/>
              </w:rPr>
              <w:t>The stakeholder's ability to influence BLITZX's decisions or ISMS outcomes.</w:t>
            </w:r>
          </w:p>
        </w:tc>
      </w:tr>
      <w:tr>
        <w:tc>
          <w:tcPr>
            <w:tcW w:type="dxa" w:w="2880"/>
            <w:vAlign w:val="center"/>
          </w:tcPr>
          <w:p>
            <w:pPr>
              <w:spacing w:after="20"/>
            </w:pPr>
            <w:r>
              <w:rPr>
                <w:rFonts w:ascii="Aptos" w:hAnsi="Aptos"/>
                <w:b w:val="0"/>
                <w:sz w:val="16"/>
              </w:rPr>
              <w:t>Interest</w:t>
            </w:r>
          </w:p>
        </w:tc>
        <w:tc>
          <w:tcPr>
            <w:tcW w:type="dxa" w:w="8064"/>
            <w:vAlign w:val="center"/>
          </w:tcPr>
          <w:p>
            <w:pPr>
              <w:spacing w:after="20"/>
            </w:pPr>
            <w:r>
              <w:rPr>
                <w:rFonts w:ascii="Aptos" w:hAnsi="Aptos"/>
                <w:b w:val="0"/>
                <w:sz w:val="16"/>
              </w:rPr>
              <w:t>The stakeholder's level of concern or involvement in information-security matters.</w:t>
            </w:r>
          </w:p>
        </w:tc>
      </w:tr>
    </w:tbl>
    <w:p/>
    <w:p>
      <w:pPr>
        <w:pStyle w:val="Heading1"/>
      </w:pPr>
      <w:r>
        <w:t>3. Related ISMS Records</w:t>
      </w:r>
    </w:p>
    <w:p>
      <w:r>
        <w:t>Related records may include the ISMS Scope, Internal and External Issues Register, Information Security Risk Assessment, Risk Register, Statement of Applicability, and applicable legal/contractual obligations register. Only records that exist in the portfolio should be treated as completed supporting documents.</w:t>
      </w:r>
    </w:p>
    <w:p>
      <w:pPr>
        <w:pStyle w:val="Heading1"/>
      </w:pPr>
      <w:r>
        <w:t>4. Power–Interest Classification</w:t>
      </w:r>
    </w:p>
    <w:tbl>
      <w:tblPr>
        <w:tblStyle w:val="TableGrid"/>
        <w:tblW w:type="auto" w:w="0"/>
        <w:jc w:val="center"/>
        <w:tblLook w:firstColumn="1" w:firstRow="1" w:lastColumn="0" w:lastRow="0" w:noHBand="0" w:noVBand="1" w:val="04A0"/>
      </w:tblPr>
      <w:tblGrid>
        <w:gridCol w:w="3456"/>
        <w:gridCol w:w="3456"/>
        <w:gridCol w:w="3456"/>
      </w:tblGrid>
      <w:tr>
        <w:tc>
          <w:tcPr>
            <w:tcW w:type="dxa" w:w="1944"/>
            <w:vAlign w:val="center"/>
            <w:shd w:fill="D9EAF7"/>
          </w:tcPr>
          <w:p>
            <w:pPr>
              <w:spacing w:after="20"/>
            </w:pPr>
            <w:r>
              <w:rPr>
                <w:rFonts w:ascii="Aptos" w:hAnsi="Aptos"/>
                <w:b/>
                <w:sz w:val="16"/>
              </w:rPr>
              <w:t>Classification</w:t>
            </w:r>
          </w:p>
        </w:tc>
        <w:tc>
          <w:tcPr>
            <w:tcW w:type="dxa" w:w="3456"/>
            <w:vAlign w:val="center"/>
            <w:shd w:fill="D9EAF7"/>
          </w:tcPr>
          <w:p>
            <w:pPr>
              <w:spacing w:after="20"/>
            </w:pPr>
            <w:r>
              <w:rPr>
                <w:rFonts w:ascii="Aptos" w:hAnsi="Aptos"/>
                <w:b/>
                <w:sz w:val="16"/>
              </w:rPr>
              <w:t>Meaning</w:t>
            </w:r>
          </w:p>
        </w:tc>
        <w:tc>
          <w:tcPr>
            <w:tcW w:type="dxa" w:w="5544"/>
            <w:vAlign w:val="center"/>
            <w:shd w:fill="D9EAF7"/>
          </w:tcPr>
          <w:p>
            <w:pPr>
              <w:spacing w:after="20"/>
            </w:pPr>
            <w:r>
              <w:rPr>
                <w:rFonts w:ascii="Aptos" w:hAnsi="Aptos"/>
                <w:b/>
                <w:sz w:val="16"/>
              </w:rPr>
              <w:t>Engagement approach</w:t>
            </w:r>
          </w:p>
        </w:tc>
      </w:tr>
      <w:tr>
        <w:tc>
          <w:tcPr>
            <w:tcW w:type="dxa" w:w="1944"/>
            <w:vAlign w:val="center"/>
          </w:tcPr>
          <w:p>
            <w:pPr>
              <w:spacing w:after="20"/>
            </w:pPr>
            <w:r>
              <w:rPr>
                <w:rFonts w:ascii="Aptos" w:hAnsi="Aptos"/>
                <w:b w:val="0"/>
                <w:sz w:val="16"/>
              </w:rPr>
              <w:t>Manage closely</w:t>
            </w:r>
          </w:p>
        </w:tc>
        <w:tc>
          <w:tcPr>
            <w:tcW w:type="dxa" w:w="3456"/>
            <w:vAlign w:val="center"/>
          </w:tcPr>
          <w:p>
            <w:pPr>
              <w:spacing w:after="20"/>
            </w:pPr>
            <w:r>
              <w:rPr>
                <w:rFonts w:ascii="Aptos" w:hAnsi="Aptos"/>
                <w:b w:val="0"/>
                <w:sz w:val="16"/>
              </w:rPr>
              <w:t>High power, high interest.</w:t>
            </w:r>
          </w:p>
        </w:tc>
        <w:tc>
          <w:tcPr>
            <w:tcW w:type="dxa" w:w="5544"/>
            <w:vAlign w:val="center"/>
          </w:tcPr>
          <w:p>
            <w:pPr>
              <w:spacing w:after="20"/>
            </w:pPr>
            <w:r>
              <w:rPr>
                <w:rFonts w:ascii="Aptos" w:hAnsi="Aptos"/>
                <w:b w:val="0"/>
                <w:sz w:val="16"/>
              </w:rPr>
              <w:t>Regular communication, active involvement in decisions, and timely resolution of concerns.</w:t>
            </w:r>
          </w:p>
        </w:tc>
      </w:tr>
      <w:tr>
        <w:tc>
          <w:tcPr>
            <w:tcW w:type="dxa" w:w="1944"/>
            <w:vAlign w:val="center"/>
          </w:tcPr>
          <w:p>
            <w:pPr>
              <w:spacing w:after="20"/>
            </w:pPr>
            <w:r>
              <w:rPr>
                <w:rFonts w:ascii="Aptos" w:hAnsi="Aptos"/>
                <w:b w:val="0"/>
                <w:sz w:val="16"/>
              </w:rPr>
              <w:t>Keep satisfied</w:t>
            </w:r>
          </w:p>
        </w:tc>
        <w:tc>
          <w:tcPr>
            <w:tcW w:type="dxa" w:w="3456"/>
            <w:vAlign w:val="center"/>
          </w:tcPr>
          <w:p>
            <w:pPr>
              <w:spacing w:after="20"/>
            </w:pPr>
            <w:r>
              <w:rPr>
                <w:rFonts w:ascii="Aptos" w:hAnsi="Aptos"/>
                <w:b w:val="0"/>
                <w:sz w:val="16"/>
              </w:rPr>
              <w:t>High power, low interest.</w:t>
            </w:r>
          </w:p>
        </w:tc>
        <w:tc>
          <w:tcPr>
            <w:tcW w:type="dxa" w:w="5544"/>
            <w:vAlign w:val="center"/>
          </w:tcPr>
          <w:p>
            <w:pPr>
              <w:spacing w:after="20"/>
            </w:pPr>
            <w:r>
              <w:rPr>
                <w:rFonts w:ascii="Aptos" w:hAnsi="Aptos"/>
                <w:b w:val="0"/>
                <w:sz w:val="16"/>
              </w:rPr>
              <w:t>Periodic updates and assurance that key requirements are being addressed.</w:t>
            </w:r>
          </w:p>
        </w:tc>
      </w:tr>
      <w:tr>
        <w:tc>
          <w:tcPr>
            <w:tcW w:type="dxa" w:w="1944"/>
            <w:vAlign w:val="center"/>
          </w:tcPr>
          <w:p>
            <w:pPr>
              <w:spacing w:after="20"/>
            </w:pPr>
            <w:r>
              <w:rPr>
                <w:rFonts w:ascii="Aptos" w:hAnsi="Aptos"/>
                <w:b w:val="0"/>
                <w:sz w:val="16"/>
              </w:rPr>
              <w:t>Keep informed</w:t>
            </w:r>
          </w:p>
        </w:tc>
        <w:tc>
          <w:tcPr>
            <w:tcW w:type="dxa" w:w="3456"/>
            <w:vAlign w:val="center"/>
          </w:tcPr>
          <w:p>
            <w:pPr>
              <w:spacing w:after="20"/>
            </w:pPr>
            <w:r>
              <w:rPr>
                <w:rFonts w:ascii="Aptos" w:hAnsi="Aptos"/>
                <w:b w:val="0"/>
                <w:sz w:val="16"/>
              </w:rPr>
              <w:t>Low power, high interest.</w:t>
            </w:r>
          </w:p>
        </w:tc>
        <w:tc>
          <w:tcPr>
            <w:tcW w:type="dxa" w:w="5544"/>
            <w:vAlign w:val="center"/>
          </w:tcPr>
          <w:p>
            <w:pPr>
              <w:spacing w:after="20"/>
            </w:pPr>
            <w:r>
              <w:rPr>
                <w:rFonts w:ascii="Aptos" w:hAnsi="Aptos"/>
                <w:b w:val="0"/>
                <w:sz w:val="16"/>
              </w:rPr>
              <w:t>Regular relevant updates and channels to raise concerns.</w:t>
            </w:r>
          </w:p>
        </w:tc>
      </w:tr>
      <w:tr>
        <w:tc>
          <w:tcPr>
            <w:tcW w:type="dxa" w:w="1944"/>
            <w:vAlign w:val="center"/>
          </w:tcPr>
          <w:p>
            <w:pPr>
              <w:spacing w:after="20"/>
            </w:pPr>
            <w:r>
              <w:rPr>
                <w:rFonts w:ascii="Aptos" w:hAnsi="Aptos"/>
                <w:b w:val="0"/>
                <w:sz w:val="16"/>
              </w:rPr>
              <w:t>Monitor</w:t>
            </w:r>
          </w:p>
        </w:tc>
        <w:tc>
          <w:tcPr>
            <w:tcW w:type="dxa" w:w="3456"/>
            <w:vAlign w:val="center"/>
          </w:tcPr>
          <w:p>
            <w:pPr>
              <w:spacing w:after="20"/>
            </w:pPr>
            <w:r>
              <w:rPr>
                <w:rFonts w:ascii="Aptos" w:hAnsi="Aptos"/>
                <w:b w:val="0"/>
                <w:sz w:val="16"/>
              </w:rPr>
              <w:t>Low power, low interest.</w:t>
            </w:r>
          </w:p>
        </w:tc>
        <w:tc>
          <w:tcPr>
            <w:tcW w:type="dxa" w:w="5544"/>
            <w:vAlign w:val="center"/>
          </w:tcPr>
          <w:p>
            <w:pPr>
              <w:spacing w:after="20"/>
            </w:pPr>
            <w:r>
              <w:rPr>
                <w:rFonts w:ascii="Aptos" w:hAnsi="Aptos"/>
                <w:b w:val="0"/>
                <w:sz w:val="16"/>
              </w:rPr>
              <w:t>Occasional review; reassess if power or interest changes.</w:t>
            </w:r>
          </w:p>
        </w:tc>
      </w:tr>
    </w:tbl>
    <w:p/>
    <w:p>
      <w:pPr>
        <w:pStyle w:val="Heading1"/>
      </w:pPr>
      <w:r>
        <w:t>5. External Interested Parties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656"/>
            <w:vAlign w:val="center"/>
            <w:shd w:fill="D9EAF7"/>
          </w:tcPr>
          <w:p>
            <w:pPr>
              <w:spacing w:after="20"/>
            </w:pPr>
            <w:r>
              <w:rPr>
                <w:rFonts w:ascii="Aptos" w:hAnsi="Aptos"/>
                <w:b/>
                <w:sz w:val="14"/>
              </w:rPr>
              <w:t>Category</w:t>
            </w:r>
          </w:p>
        </w:tc>
        <w:tc>
          <w:tcPr>
            <w:tcW w:type="dxa" w:w="2304"/>
            <w:vAlign w:val="center"/>
            <w:shd w:fill="D9EAF7"/>
          </w:tcPr>
          <w:p>
            <w:pPr>
              <w:spacing w:after="20"/>
            </w:pPr>
            <w:r>
              <w:rPr>
                <w:rFonts w:ascii="Aptos" w:hAnsi="Aptos"/>
                <w:b/>
                <w:sz w:val="14"/>
              </w:rPr>
              <w:t>Interested Party</w:t>
            </w:r>
          </w:p>
        </w:tc>
        <w:tc>
          <w:tcPr>
            <w:tcW w:type="dxa" w:w="4536"/>
            <w:vAlign w:val="center"/>
            <w:shd w:fill="D9EAF7"/>
          </w:tcPr>
          <w:p>
            <w:pPr>
              <w:spacing w:after="20"/>
            </w:pPr>
            <w:r>
              <w:rPr>
                <w:rFonts w:ascii="Aptos" w:hAnsi="Aptos"/>
                <w:b/>
                <w:sz w:val="14"/>
              </w:rPr>
              <w:t>Requirements and Expectations</w:t>
            </w:r>
          </w:p>
        </w:tc>
        <w:tc>
          <w:tcPr>
            <w:tcW w:type="dxa" w:w="792"/>
            <w:vAlign w:val="center"/>
            <w:shd w:fill="D9EAF7"/>
          </w:tcPr>
          <w:p>
            <w:pPr>
              <w:spacing w:after="20"/>
            </w:pPr>
            <w:r>
              <w:rPr>
                <w:rFonts w:ascii="Aptos" w:hAnsi="Aptos"/>
                <w:b/>
                <w:sz w:val="14"/>
              </w:rPr>
              <w:t>Power</w:t>
            </w:r>
          </w:p>
        </w:tc>
        <w:tc>
          <w:tcPr>
            <w:tcW w:type="dxa" w:w="792"/>
            <w:vAlign w:val="center"/>
            <w:shd w:fill="D9EAF7"/>
          </w:tcPr>
          <w:p>
            <w:pPr>
              <w:spacing w:after="20"/>
            </w:pPr>
            <w:r>
              <w:rPr>
                <w:rFonts w:ascii="Aptos" w:hAnsi="Aptos"/>
                <w:b/>
                <w:sz w:val="14"/>
              </w:rPr>
              <w:t>Interest</w:t>
            </w:r>
          </w:p>
        </w:tc>
        <w:tc>
          <w:tcPr>
            <w:tcW w:type="dxa" w:w="1440"/>
            <w:vAlign w:val="center"/>
            <w:shd w:fill="D9EAF7"/>
          </w:tcPr>
          <w:p>
            <w:pPr>
              <w:spacing w:after="20"/>
            </w:pPr>
            <w:r>
              <w:rPr>
                <w:rFonts w:ascii="Aptos" w:hAnsi="Aptos"/>
                <w:b/>
                <w:sz w:val="14"/>
              </w:rPr>
              <w:t>Classification</w:t>
            </w:r>
          </w:p>
        </w:tc>
      </w:tr>
      <w:tr>
        <w:tc>
          <w:tcPr>
            <w:tcW w:type="dxa" w:w="1656"/>
            <w:vAlign w:val="center"/>
          </w:tcPr>
          <w:p>
            <w:pPr>
              <w:spacing w:after="20"/>
            </w:pPr>
            <w:r>
              <w:rPr>
                <w:rFonts w:ascii="Aptos" w:hAnsi="Aptos"/>
                <w:b w:val="0"/>
                <w:sz w:val="14"/>
              </w:rPr>
              <w:t>Regulators</w:t>
            </w:r>
          </w:p>
        </w:tc>
        <w:tc>
          <w:tcPr>
            <w:tcW w:type="dxa" w:w="2304"/>
            <w:vAlign w:val="center"/>
          </w:tcPr>
          <w:p>
            <w:pPr>
              <w:spacing w:after="20"/>
            </w:pPr>
            <w:r>
              <w:rPr>
                <w:rFonts w:ascii="Aptos" w:hAnsi="Aptos"/>
                <w:b w:val="0"/>
                <w:sz w:val="14"/>
              </w:rPr>
              <w:t>German and other applicable national authorities</w:t>
            </w:r>
          </w:p>
        </w:tc>
        <w:tc>
          <w:tcPr>
            <w:tcW w:type="dxa" w:w="4536"/>
            <w:vAlign w:val="center"/>
          </w:tcPr>
          <w:p>
            <w:pPr>
              <w:spacing w:after="20"/>
            </w:pPr>
            <w:r>
              <w:rPr>
                <w:rFonts w:ascii="Aptos" w:hAnsi="Aptos"/>
                <w:b w:val="0"/>
                <w:sz w:val="14"/>
              </w:rPr>
              <w:t>Compliance with applicable laws and regulatory obligations relevant to information security, privacy, export controls and business operations; reporting where legally required.</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Regulators</w:t>
            </w:r>
          </w:p>
        </w:tc>
        <w:tc>
          <w:tcPr>
            <w:tcW w:type="dxa" w:w="2304"/>
            <w:vAlign w:val="center"/>
          </w:tcPr>
          <w:p>
            <w:pPr>
              <w:spacing w:after="20"/>
            </w:pPr>
            <w:r>
              <w:rPr>
                <w:rFonts w:ascii="Aptos" w:hAnsi="Aptos"/>
                <w:b w:val="0"/>
                <w:sz w:val="14"/>
              </w:rPr>
              <w:t>Relevant European Union institutions and supervisory authorities</w:t>
            </w:r>
          </w:p>
        </w:tc>
        <w:tc>
          <w:tcPr>
            <w:tcW w:type="dxa" w:w="4536"/>
            <w:vAlign w:val="center"/>
          </w:tcPr>
          <w:p>
            <w:pPr>
              <w:spacing w:after="20"/>
            </w:pPr>
            <w:r>
              <w:rPr>
                <w:rFonts w:ascii="Aptos" w:hAnsi="Aptos"/>
                <w:b w:val="0"/>
                <w:sz w:val="14"/>
              </w:rPr>
              <w:t>Meet applicable EU requirements, including GDPR where applicable to the relevant processing and entities.</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Regulators</w:t>
            </w:r>
          </w:p>
        </w:tc>
        <w:tc>
          <w:tcPr>
            <w:tcW w:type="dxa" w:w="2304"/>
            <w:vAlign w:val="center"/>
          </w:tcPr>
          <w:p>
            <w:pPr>
              <w:spacing w:after="20"/>
            </w:pPr>
            <w:r>
              <w:rPr>
                <w:rFonts w:ascii="Aptos" w:hAnsi="Aptos"/>
                <w:b w:val="0"/>
                <w:sz w:val="14"/>
              </w:rPr>
              <w:t>Authorities in countries where BLITZX operates</w:t>
            </w:r>
          </w:p>
        </w:tc>
        <w:tc>
          <w:tcPr>
            <w:tcW w:type="dxa" w:w="4536"/>
            <w:vAlign w:val="center"/>
          </w:tcPr>
          <w:p>
            <w:pPr>
              <w:spacing w:after="20"/>
            </w:pPr>
            <w:r>
              <w:rPr>
                <w:rFonts w:ascii="Aptos" w:hAnsi="Aptos"/>
                <w:b w:val="0"/>
                <w:sz w:val="14"/>
              </w:rPr>
              <w:t>Comply with applicable local legal and regulatory requirements relating to information, systems and business operations.</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Owners and investors</w:t>
            </w:r>
          </w:p>
        </w:tc>
        <w:tc>
          <w:tcPr>
            <w:tcW w:type="dxa" w:w="2304"/>
            <w:vAlign w:val="center"/>
          </w:tcPr>
          <w:p>
            <w:pPr>
              <w:spacing w:after="20"/>
            </w:pPr>
            <w:r>
              <w:rPr>
                <w:rFonts w:ascii="Aptos" w:hAnsi="Aptos"/>
                <w:b w:val="0"/>
                <w:sz w:val="14"/>
              </w:rPr>
              <w:t>Shareholders and investors</w:t>
            </w:r>
          </w:p>
        </w:tc>
        <w:tc>
          <w:tcPr>
            <w:tcW w:type="dxa" w:w="4536"/>
            <w:vAlign w:val="center"/>
          </w:tcPr>
          <w:p>
            <w:pPr>
              <w:spacing w:after="20"/>
            </w:pPr>
            <w:r>
              <w:rPr>
                <w:rFonts w:ascii="Aptos" w:hAnsi="Aptos"/>
                <w:b w:val="0"/>
                <w:sz w:val="14"/>
              </w:rPr>
              <w:t>Appropriate oversight of material information-security risks, protection of intellectual property, operational resilience and responsible allocation of resources.</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Cloud providers</w:t>
            </w:r>
          </w:p>
        </w:tc>
        <w:tc>
          <w:tcPr>
            <w:tcW w:type="dxa" w:w="2304"/>
            <w:vAlign w:val="center"/>
          </w:tcPr>
          <w:p>
            <w:pPr>
              <w:spacing w:after="20"/>
            </w:pPr>
            <w:r>
              <w:rPr>
                <w:rFonts w:ascii="Aptos" w:hAnsi="Aptos"/>
                <w:b w:val="0"/>
                <w:sz w:val="14"/>
              </w:rPr>
              <w:t>AWS and Microsoft Azure</w:t>
            </w:r>
          </w:p>
        </w:tc>
        <w:tc>
          <w:tcPr>
            <w:tcW w:type="dxa" w:w="4536"/>
            <w:vAlign w:val="center"/>
          </w:tcPr>
          <w:p>
            <w:pPr>
              <w:spacing w:after="20"/>
            </w:pPr>
            <w:r>
              <w:rPr>
                <w:rFonts w:ascii="Aptos" w:hAnsi="Aptos"/>
                <w:b w:val="0"/>
                <w:sz w:val="14"/>
              </w:rPr>
              <w:t>Secure service delivery, agreed availability, clear shared-responsibility boundaries, incident communication and protection of BLITZX data.</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Technology vendors</w:t>
            </w:r>
          </w:p>
        </w:tc>
        <w:tc>
          <w:tcPr>
            <w:tcW w:type="dxa" w:w="2304"/>
            <w:vAlign w:val="center"/>
          </w:tcPr>
          <w:p>
            <w:pPr>
              <w:spacing w:after="20"/>
            </w:pPr>
            <w:r>
              <w:rPr>
                <w:rFonts w:ascii="Aptos" w:hAnsi="Aptos"/>
                <w:b w:val="0"/>
                <w:sz w:val="14"/>
              </w:rPr>
              <w:t>Enterprise software and industrial technology vendors</w:t>
            </w:r>
          </w:p>
        </w:tc>
        <w:tc>
          <w:tcPr>
            <w:tcW w:type="dxa" w:w="4536"/>
            <w:vAlign w:val="center"/>
          </w:tcPr>
          <w:p>
            <w:pPr>
              <w:spacing w:after="20"/>
            </w:pPr>
            <w:r>
              <w:rPr>
                <w:rFonts w:ascii="Aptos" w:hAnsi="Aptos"/>
                <w:b w:val="0"/>
                <w:sz w:val="14"/>
              </w:rPr>
              <w:t>Secure product support, vulnerability and patch information, support commitments, and protection of information shared with vendors.</w:t>
            </w:r>
          </w:p>
        </w:tc>
        <w:tc>
          <w:tcPr>
            <w:tcW w:type="dxa" w:w="792"/>
            <w:vAlign w:val="center"/>
          </w:tcPr>
          <w:p>
            <w:pPr>
              <w:spacing w:after="20"/>
            </w:pPr>
            <w:r>
              <w:rPr>
                <w:rFonts w:ascii="Aptos" w:hAnsi="Aptos"/>
                <w:b w:val="0"/>
                <w:sz w:val="14"/>
              </w:rPr>
              <w:t>Medium</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Keep informed</w:t>
            </w:r>
          </w:p>
        </w:tc>
      </w:tr>
      <w:tr>
        <w:tc>
          <w:tcPr>
            <w:tcW w:type="dxa" w:w="1656"/>
            <w:vAlign w:val="center"/>
          </w:tcPr>
          <w:p>
            <w:pPr>
              <w:spacing w:after="20"/>
            </w:pPr>
            <w:r>
              <w:rPr>
                <w:rFonts w:ascii="Aptos" w:hAnsi="Aptos"/>
                <w:b w:val="0"/>
                <w:sz w:val="14"/>
              </w:rPr>
              <w:t>Contractors</w:t>
            </w:r>
          </w:p>
        </w:tc>
        <w:tc>
          <w:tcPr>
            <w:tcW w:type="dxa" w:w="2304"/>
            <w:vAlign w:val="center"/>
          </w:tcPr>
          <w:p>
            <w:pPr>
              <w:spacing w:after="20"/>
            </w:pPr>
            <w:r>
              <w:rPr>
                <w:rFonts w:ascii="Aptos" w:hAnsi="Aptos"/>
                <w:b w:val="0"/>
                <w:sz w:val="14"/>
              </w:rPr>
              <w:t>Subcontractors and consultants</w:t>
            </w:r>
          </w:p>
        </w:tc>
        <w:tc>
          <w:tcPr>
            <w:tcW w:type="dxa" w:w="4536"/>
            <w:vAlign w:val="center"/>
          </w:tcPr>
          <w:p>
            <w:pPr>
              <w:spacing w:after="20"/>
            </w:pPr>
            <w:r>
              <w:rPr>
                <w:rFonts w:ascii="Aptos" w:hAnsi="Aptos"/>
                <w:b w:val="0"/>
                <w:sz w:val="14"/>
              </w:rPr>
              <w:t>Compliance with contractual security requirements, confidentiality obligations and access restrictions.</w:t>
            </w:r>
          </w:p>
        </w:tc>
        <w:tc>
          <w:tcPr>
            <w:tcW w:type="dxa" w:w="792"/>
            <w:vAlign w:val="center"/>
          </w:tcPr>
          <w:p>
            <w:pPr>
              <w:spacing w:after="20"/>
            </w:pPr>
            <w:r>
              <w:rPr>
                <w:rFonts w:ascii="Aptos" w:hAnsi="Aptos"/>
                <w:b w:val="0"/>
                <w:sz w:val="14"/>
              </w:rPr>
              <w:t>Medium</w:t>
            </w:r>
          </w:p>
        </w:tc>
        <w:tc>
          <w:tcPr>
            <w:tcW w:type="dxa" w:w="792"/>
            <w:vAlign w:val="center"/>
          </w:tcPr>
          <w:p>
            <w:pPr>
              <w:spacing w:after="20"/>
            </w:pPr>
            <w:r>
              <w:rPr>
                <w:rFonts w:ascii="Aptos" w:hAnsi="Aptos"/>
                <w:b w:val="0"/>
                <w:sz w:val="14"/>
              </w:rPr>
              <w:t>Medium</w:t>
            </w:r>
          </w:p>
        </w:tc>
        <w:tc>
          <w:tcPr>
            <w:tcW w:type="dxa" w:w="1440"/>
            <w:vAlign w:val="center"/>
          </w:tcPr>
          <w:p>
            <w:pPr>
              <w:spacing w:after="20"/>
            </w:pPr>
            <w:r>
              <w:rPr>
                <w:rFonts w:ascii="Aptos" w:hAnsi="Aptos"/>
                <w:b w:val="0"/>
                <w:sz w:val="14"/>
              </w:rPr>
              <w:t>Keep informed</w:t>
            </w:r>
          </w:p>
        </w:tc>
      </w:tr>
      <w:tr>
        <w:tc>
          <w:tcPr>
            <w:tcW w:type="dxa" w:w="1656"/>
            <w:vAlign w:val="center"/>
          </w:tcPr>
          <w:p>
            <w:pPr>
              <w:spacing w:after="20"/>
            </w:pPr>
            <w:r>
              <w:rPr>
                <w:rFonts w:ascii="Aptos" w:hAnsi="Aptos"/>
                <w:b w:val="0"/>
                <w:sz w:val="14"/>
              </w:rPr>
              <w:t>Customers</w:t>
            </w:r>
          </w:p>
        </w:tc>
        <w:tc>
          <w:tcPr>
            <w:tcW w:type="dxa" w:w="2304"/>
            <w:vAlign w:val="center"/>
          </w:tcPr>
          <w:p>
            <w:pPr>
              <w:spacing w:after="20"/>
            </w:pPr>
            <w:r>
              <w:rPr>
                <w:rFonts w:ascii="Aptos" w:hAnsi="Aptos"/>
                <w:b w:val="0"/>
                <w:sz w:val="14"/>
              </w:rPr>
              <w:t>Customers in construction, mining, aerospace, transportation and energy</w:t>
            </w:r>
          </w:p>
        </w:tc>
        <w:tc>
          <w:tcPr>
            <w:tcW w:type="dxa" w:w="4536"/>
            <w:vAlign w:val="center"/>
          </w:tcPr>
          <w:p>
            <w:pPr>
              <w:spacing w:after="20"/>
            </w:pPr>
            <w:r>
              <w:rPr>
                <w:rFonts w:ascii="Aptos" w:hAnsi="Aptos"/>
                <w:b w:val="0"/>
                <w:sz w:val="14"/>
              </w:rPr>
              <w:t>Protection of confidential business and engineering information, reliable services, and fulfilment of applicable contractual security requirements.</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Distribution partners</w:t>
            </w:r>
          </w:p>
        </w:tc>
        <w:tc>
          <w:tcPr>
            <w:tcW w:type="dxa" w:w="2304"/>
            <w:vAlign w:val="center"/>
          </w:tcPr>
          <w:p>
            <w:pPr>
              <w:spacing w:after="20"/>
            </w:pPr>
            <w:r>
              <w:rPr>
                <w:rFonts w:ascii="Aptos" w:hAnsi="Aptos"/>
                <w:b w:val="0"/>
                <w:sz w:val="14"/>
              </w:rPr>
              <w:t>Authorized dealers and distribution partners</w:t>
            </w:r>
          </w:p>
        </w:tc>
        <w:tc>
          <w:tcPr>
            <w:tcW w:type="dxa" w:w="4536"/>
            <w:vAlign w:val="center"/>
          </w:tcPr>
          <w:p>
            <w:pPr>
              <w:spacing w:after="20"/>
            </w:pPr>
            <w:r>
              <w:rPr>
                <w:rFonts w:ascii="Aptos" w:hAnsi="Aptos"/>
                <w:b w:val="0"/>
                <w:sz w:val="14"/>
              </w:rPr>
              <w:t>Secure exchange of customer, order, logistics and commercial information; appropriate access and confidentiality.</w:t>
            </w:r>
          </w:p>
        </w:tc>
        <w:tc>
          <w:tcPr>
            <w:tcW w:type="dxa" w:w="792"/>
            <w:vAlign w:val="center"/>
          </w:tcPr>
          <w:p>
            <w:pPr>
              <w:spacing w:after="20"/>
            </w:pPr>
            <w:r>
              <w:rPr>
                <w:rFonts w:ascii="Aptos" w:hAnsi="Aptos"/>
                <w:b w:val="0"/>
                <w:sz w:val="14"/>
              </w:rPr>
              <w:t>Medium</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Keep informed</w:t>
            </w:r>
          </w:p>
        </w:tc>
      </w:tr>
      <w:tr>
        <w:tc>
          <w:tcPr>
            <w:tcW w:type="dxa" w:w="1656"/>
            <w:vAlign w:val="center"/>
          </w:tcPr>
          <w:p>
            <w:pPr>
              <w:spacing w:after="20"/>
            </w:pPr>
            <w:r>
              <w:rPr>
                <w:rFonts w:ascii="Aptos" w:hAnsi="Aptos"/>
                <w:b w:val="0"/>
                <w:sz w:val="14"/>
              </w:rPr>
              <w:t>Industry bodies</w:t>
            </w:r>
          </w:p>
        </w:tc>
        <w:tc>
          <w:tcPr>
            <w:tcW w:type="dxa" w:w="2304"/>
            <w:vAlign w:val="center"/>
          </w:tcPr>
          <w:p>
            <w:pPr>
              <w:spacing w:after="20"/>
            </w:pPr>
            <w:r>
              <w:rPr>
                <w:rFonts w:ascii="Aptos" w:hAnsi="Aptos"/>
                <w:b w:val="0"/>
                <w:sz w:val="14"/>
              </w:rPr>
              <w:t>Relevant industry associations and standards bodies</w:t>
            </w:r>
          </w:p>
        </w:tc>
        <w:tc>
          <w:tcPr>
            <w:tcW w:type="dxa" w:w="4536"/>
            <w:vAlign w:val="center"/>
          </w:tcPr>
          <w:p>
            <w:pPr>
              <w:spacing w:after="20"/>
            </w:pPr>
            <w:r>
              <w:rPr>
                <w:rFonts w:ascii="Aptos" w:hAnsi="Aptos"/>
                <w:b w:val="0"/>
                <w:sz w:val="14"/>
              </w:rPr>
              <w:t>Awareness of relevant industry guidance, standards and good practices for manufacturing and information security.</w:t>
            </w:r>
          </w:p>
        </w:tc>
        <w:tc>
          <w:tcPr>
            <w:tcW w:type="dxa" w:w="792"/>
            <w:vAlign w:val="center"/>
          </w:tcPr>
          <w:p>
            <w:pPr>
              <w:spacing w:after="20"/>
            </w:pPr>
            <w:r>
              <w:rPr>
                <w:rFonts w:ascii="Aptos" w:hAnsi="Aptos"/>
                <w:b w:val="0"/>
                <w:sz w:val="14"/>
              </w:rPr>
              <w:t>Low</w:t>
            </w:r>
          </w:p>
        </w:tc>
        <w:tc>
          <w:tcPr>
            <w:tcW w:type="dxa" w:w="792"/>
            <w:vAlign w:val="center"/>
          </w:tcPr>
          <w:p>
            <w:pPr>
              <w:spacing w:after="20"/>
            </w:pPr>
            <w:r>
              <w:rPr>
                <w:rFonts w:ascii="Aptos" w:hAnsi="Aptos"/>
                <w:b w:val="0"/>
                <w:sz w:val="14"/>
              </w:rPr>
              <w:t>Medium</w:t>
            </w:r>
          </w:p>
        </w:tc>
        <w:tc>
          <w:tcPr>
            <w:tcW w:type="dxa" w:w="1440"/>
            <w:vAlign w:val="center"/>
          </w:tcPr>
          <w:p>
            <w:pPr>
              <w:spacing w:after="20"/>
            </w:pPr>
            <w:r>
              <w:rPr>
                <w:rFonts w:ascii="Aptos" w:hAnsi="Aptos"/>
                <w:b w:val="0"/>
                <w:sz w:val="14"/>
              </w:rPr>
              <w:t>Monitor</w:t>
            </w:r>
          </w:p>
        </w:tc>
      </w:tr>
      <w:tr>
        <w:tc>
          <w:tcPr>
            <w:tcW w:type="dxa" w:w="1656"/>
            <w:vAlign w:val="center"/>
          </w:tcPr>
          <w:p>
            <w:pPr>
              <w:spacing w:after="20"/>
            </w:pPr>
            <w:r>
              <w:rPr>
                <w:rFonts w:ascii="Aptos" w:hAnsi="Aptos"/>
                <w:b w:val="0"/>
                <w:sz w:val="14"/>
              </w:rPr>
              <w:t>External auditors</w:t>
            </w:r>
          </w:p>
        </w:tc>
        <w:tc>
          <w:tcPr>
            <w:tcW w:type="dxa" w:w="2304"/>
            <w:vAlign w:val="center"/>
          </w:tcPr>
          <w:p>
            <w:pPr>
              <w:spacing w:after="20"/>
            </w:pPr>
            <w:r>
              <w:rPr>
                <w:rFonts w:ascii="Aptos" w:hAnsi="Aptos"/>
                <w:b w:val="0"/>
                <w:sz w:val="14"/>
              </w:rPr>
              <w:t>Independent auditors or certification body, if engaged</w:t>
            </w:r>
          </w:p>
        </w:tc>
        <w:tc>
          <w:tcPr>
            <w:tcW w:type="dxa" w:w="4536"/>
            <w:vAlign w:val="center"/>
          </w:tcPr>
          <w:p>
            <w:pPr>
              <w:spacing w:after="20"/>
            </w:pPr>
            <w:r>
              <w:rPr>
                <w:rFonts w:ascii="Aptos" w:hAnsi="Aptos"/>
                <w:b w:val="0"/>
                <w:sz w:val="14"/>
              </w:rPr>
              <w:t>Accurate records, objective evidence and access to agreed ISMS documentation during audits or certification assessments.</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bl>
    <w:p/>
    <w:p>
      <w:pPr>
        <w:pStyle w:val="Heading1"/>
      </w:pPr>
      <w:r>
        <w:t>6. Internal Interested Parties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656"/>
            <w:vAlign w:val="center"/>
            <w:shd w:fill="D9EAF7"/>
          </w:tcPr>
          <w:p>
            <w:pPr>
              <w:spacing w:after="20"/>
            </w:pPr>
            <w:r>
              <w:rPr>
                <w:rFonts w:ascii="Aptos" w:hAnsi="Aptos"/>
                <w:b/>
                <w:sz w:val="14"/>
              </w:rPr>
              <w:t>Category</w:t>
            </w:r>
          </w:p>
        </w:tc>
        <w:tc>
          <w:tcPr>
            <w:tcW w:type="dxa" w:w="2304"/>
            <w:vAlign w:val="center"/>
            <w:shd w:fill="D9EAF7"/>
          </w:tcPr>
          <w:p>
            <w:pPr>
              <w:spacing w:after="20"/>
            </w:pPr>
            <w:r>
              <w:rPr>
                <w:rFonts w:ascii="Aptos" w:hAnsi="Aptos"/>
                <w:b/>
                <w:sz w:val="14"/>
              </w:rPr>
              <w:t>Interested Party</w:t>
            </w:r>
          </w:p>
        </w:tc>
        <w:tc>
          <w:tcPr>
            <w:tcW w:type="dxa" w:w="4536"/>
            <w:vAlign w:val="center"/>
            <w:shd w:fill="D9EAF7"/>
          </w:tcPr>
          <w:p>
            <w:pPr>
              <w:spacing w:after="20"/>
            </w:pPr>
            <w:r>
              <w:rPr>
                <w:rFonts w:ascii="Aptos" w:hAnsi="Aptos"/>
                <w:b/>
                <w:sz w:val="14"/>
              </w:rPr>
              <w:t>Requirements and Expectations</w:t>
            </w:r>
          </w:p>
        </w:tc>
        <w:tc>
          <w:tcPr>
            <w:tcW w:type="dxa" w:w="792"/>
            <w:vAlign w:val="center"/>
            <w:shd w:fill="D9EAF7"/>
          </w:tcPr>
          <w:p>
            <w:pPr>
              <w:spacing w:after="20"/>
            </w:pPr>
            <w:r>
              <w:rPr>
                <w:rFonts w:ascii="Aptos" w:hAnsi="Aptos"/>
                <w:b/>
                <w:sz w:val="14"/>
              </w:rPr>
              <w:t>Power</w:t>
            </w:r>
          </w:p>
        </w:tc>
        <w:tc>
          <w:tcPr>
            <w:tcW w:type="dxa" w:w="792"/>
            <w:vAlign w:val="center"/>
            <w:shd w:fill="D9EAF7"/>
          </w:tcPr>
          <w:p>
            <w:pPr>
              <w:spacing w:after="20"/>
            </w:pPr>
            <w:r>
              <w:rPr>
                <w:rFonts w:ascii="Aptos" w:hAnsi="Aptos"/>
                <w:b/>
                <w:sz w:val="14"/>
              </w:rPr>
              <w:t>Interest</w:t>
            </w:r>
          </w:p>
        </w:tc>
        <w:tc>
          <w:tcPr>
            <w:tcW w:type="dxa" w:w="1440"/>
            <w:vAlign w:val="center"/>
            <w:shd w:fill="D9EAF7"/>
          </w:tcPr>
          <w:p>
            <w:pPr>
              <w:spacing w:after="20"/>
            </w:pPr>
            <w:r>
              <w:rPr>
                <w:rFonts w:ascii="Aptos" w:hAnsi="Aptos"/>
                <w:b/>
                <w:sz w:val="14"/>
              </w:rPr>
              <w:t>Classification</w:t>
            </w:r>
          </w:p>
        </w:tc>
      </w:tr>
      <w:tr>
        <w:tc>
          <w:tcPr>
            <w:tcW w:type="dxa" w:w="1656"/>
            <w:vAlign w:val="center"/>
          </w:tcPr>
          <w:p>
            <w:pPr>
              <w:spacing w:after="20"/>
            </w:pPr>
            <w:r>
              <w:rPr>
                <w:rFonts w:ascii="Aptos" w:hAnsi="Aptos"/>
                <w:b w:val="0"/>
                <w:sz w:val="14"/>
              </w:rPr>
              <w:t>Governance</w:t>
            </w:r>
          </w:p>
        </w:tc>
        <w:tc>
          <w:tcPr>
            <w:tcW w:type="dxa" w:w="2304"/>
            <w:vAlign w:val="center"/>
          </w:tcPr>
          <w:p>
            <w:pPr>
              <w:spacing w:after="20"/>
            </w:pPr>
            <w:r>
              <w:rPr>
                <w:rFonts w:ascii="Aptos" w:hAnsi="Aptos"/>
                <w:b w:val="0"/>
                <w:sz w:val="14"/>
              </w:rPr>
              <w:t>Board of Directors</w:t>
            </w:r>
          </w:p>
        </w:tc>
        <w:tc>
          <w:tcPr>
            <w:tcW w:type="dxa" w:w="4536"/>
            <w:vAlign w:val="center"/>
          </w:tcPr>
          <w:p>
            <w:pPr>
              <w:spacing w:after="20"/>
            </w:pPr>
            <w:r>
              <w:rPr>
                <w:rFonts w:ascii="Aptos" w:hAnsi="Aptos"/>
                <w:b w:val="0"/>
                <w:sz w:val="14"/>
              </w:rPr>
              <w:t>Oversight of significant information-security risks, strategic objectives, resources and business continuity.</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Executive management</w:t>
            </w:r>
          </w:p>
        </w:tc>
        <w:tc>
          <w:tcPr>
            <w:tcW w:type="dxa" w:w="2304"/>
            <w:vAlign w:val="center"/>
          </w:tcPr>
          <w:p>
            <w:pPr>
              <w:spacing w:after="20"/>
            </w:pPr>
            <w:r>
              <w:rPr>
                <w:rFonts w:ascii="Aptos" w:hAnsi="Aptos"/>
                <w:b w:val="0"/>
                <w:sz w:val="14"/>
              </w:rPr>
              <w:t>CEO and senior leadership</w:t>
            </w:r>
          </w:p>
        </w:tc>
        <w:tc>
          <w:tcPr>
            <w:tcW w:type="dxa" w:w="4536"/>
            <w:vAlign w:val="center"/>
          </w:tcPr>
          <w:p>
            <w:pPr>
              <w:spacing w:after="20"/>
            </w:pPr>
            <w:r>
              <w:rPr>
                <w:rFonts w:ascii="Aptos" w:hAnsi="Aptos"/>
                <w:b w:val="0"/>
                <w:sz w:val="14"/>
              </w:rPr>
              <w:t>Clear risk reporting, defined accountability, compliance oversight and information-security performance information.</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Employees</w:t>
            </w:r>
          </w:p>
        </w:tc>
        <w:tc>
          <w:tcPr>
            <w:tcW w:type="dxa" w:w="2304"/>
            <w:vAlign w:val="center"/>
          </w:tcPr>
          <w:p>
            <w:pPr>
              <w:spacing w:after="20"/>
            </w:pPr>
            <w:r>
              <w:rPr>
                <w:rFonts w:ascii="Aptos" w:hAnsi="Aptos"/>
                <w:b w:val="0"/>
                <w:sz w:val="14"/>
              </w:rPr>
              <w:t>Employees across divisions and locations</w:t>
            </w:r>
          </w:p>
        </w:tc>
        <w:tc>
          <w:tcPr>
            <w:tcW w:type="dxa" w:w="4536"/>
            <w:vAlign w:val="center"/>
          </w:tcPr>
          <w:p>
            <w:pPr>
              <w:spacing w:after="20"/>
            </w:pPr>
            <w:r>
              <w:rPr>
                <w:rFonts w:ascii="Aptos" w:hAnsi="Aptos"/>
                <w:b w:val="0"/>
                <w:sz w:val="14"/>
              </w:rPr>
              <w:t>Clear policies, appropriate access, awareness training, secure tools and clear incident-reporting channels.</w:t>
            </w:r>
          </w:p>
        </w:tc>
        <w:tc>
          <w:tcPr>
            <w:tcW w:type="dxa" w:w="792"/>
            <w:vAlign w:val="center"/>
          </w:tcPr>
          <w:p>
            <w:pPr>
              <w:spacing w:after="20"/>
            </w:pPr>
            <w:r>
              <w:rPr>
                <w:rFonts w:ascii="Aptos" w:hAnsi="Aptos"/>
                <w:b w:val="0"/>
                <w:sz w:val="14"/>
              </w:rPr>
              <w:t>Medium</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Keep informed</w:t>
            </w:r>
          </w:p>
        </w:tc>
      </w:tr>
      <w:tr>
        <w:tc>
          <w:tcPr>
            <w:tcW w:type="dxa" w:w="1656"/>
            <w:vAlign w:val="center"/>
          </w:tcPr>
          <w:p>
            <w:pPr>
              <w:spacing w:after="20"/>
            </w:pPr>
            <w:r>
              <w:rPr>
                <w:rFonts w:ascii="Aptos" w:hAnsi="Aptos"/>
                <w:b w:val="0"/>
                <w:sz w:val="14"/>
              </w:rPr>
              <w:t>IT and security</w:t>
            </w:r>
          </w:p>
        </w:tc>
        <w:tc>
          <w:tcPr>
            <w:tcW w:type="dxa" w:w="2304"/>
            <w:vAlign w:val="center"/>
          </w:tcPr>
          <w:p>
            <w:pPr>
              <w:spacing w:after="20"/>
            </w:pPr>
            <w:r>
              <w:rPr>
                <w:rFonts w:ascii="Aptos" w:hAnsi="Aptos"/>
                <w:b w:val="0"/>
                <w:sz w:val="14"/>
              </w:rPr>
              <w:t>IT and Information Security teams</w:t>
            </w:r>
          </w:p>
        </w:tc>
        <w:tc>
          <w:tcPr>
            <w:tcW w:type="dxa" w:w="4536"/>
            <w:vAlign w:val="center"/>
          </w:tcPr>
          <w:p>
            <w:pPr>
              <w:spacing w:after="20"/>
            </w:pPr>
            <w:r>
              <w:rPr>
                <w:rFonts w:ascii="Aptos" w:hAnsi="Aptos"/>
                <w:b w:val="0"/>
                <w:sz w:val="14"/>
              </w:rPr>
              <w:t>Defined responsibilities, sufficient resources, asset visibility and support for monitoring, incident response and recovery.</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Business divisions</w:t>
            </w:r>
          </w:p>
        </w:tc>
        <w:tc>
          <w:tcPr>
            <w:tcW w:type="dxa" w:w="2304"/>
            <w:vAlign w:val="center"/>
          </w:tcPr>
          <w:p>
            <w:pPr>
              <w:spacing w:after="20"/>
            </w:pPr>
            <w:r>
              <w:rPr>
                <w:rFonts w:ascii="Aptos" w:hAnsi="Aptos"/>
                <w:b w:val="0"/>
                <w:sz w:val="14"/>
              </w:rPr>
              <w:t>Mining, Cranes and Aerospace division leaders</w:t>
            </w:r>
          </w:p>
        </w:tc>
        <w:tc>
          <w:tcPr>
            <w:tcW w:type="dxa" w:w="4536"/>
            <w:vAlign w:val="center"/>
          </w:tcPr>
          <w:p>
            <w:pPr>
              <w:spacing w:after="20"/>
            </w:pPr>
            <w:r>
              <w:rPr>
                <w:rFonts w:ascii="Aptos" w:hAnsi="Aptos"/>
                <w:b w:val="0"/>
                <w:sz w:val="14"/>
              </w:rPr>
              <w:t>Protection and availability of division information, secure business processes and minimal disruption to operations.</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Engineering and R&amp;D</w:t>
            </w:r>
          </w:p>
        </w:tc>
        <w:tc>
          <w:tcPr>
            <w:tcW w:type="dxa" w:w="2304"/>
            <w:vAlign w:val="center"/>
          </w:tcPr>
          <w:p>
            <w:pPr>
              <w:spacing w:after="20"/>
            </w:pPr>
            <w:r>
              <w:rPr>
                <w:rFonts w:ascii="Aptos" w:hAnsi="Aptos"/>
                <w:b w:val="0"/>
                <w:sz w:val="14"/>
              </w:rPr>
              <w:t>Engineering and product-development personnel</w:t>
            </w:r>
          </w:p>
        </w:tc>
        <w:tc>
          <w:tcPr>
            <w:tcW w:type="dxa" w:w="4536"/>
            <w:vAlign w:val="center"/>
          </w:tcPr>
          <w:p>
            <w:pPr>
              <w:spacing w:after="20"/>
            </w:pPr>
            <w:r>
              <w:rPr>
                <w:rFonts w:ascii="Aptos" w:hAnsi="Aptos"/>
                <w:b w:val="0"/>
                <w:sz w:val="14"/>
              </w:rPr>
              <w:t>Protection of intellectual property, technical drawings, product designs and product lifecycle information.</w:t>
            </w:r>
          </w:p>
        </w:tc>
        <w:tc>
          <w:tcPr>
            <w:tcW w:type="dxa" w:w="792"/>
            <w:vAlign w:val="center"/>
          </w:tcPr>
          <w:p>
            <w:pPr>
              <w:spacing w:after="20"/>
            </w:pPr>
            <w:r>
              <w:rPr>
                <w:rFonts w:ascii="Aptos" w:hAnsi="Aptos"/>
                <w:b w:val="0"/>
                <w:sz w:val="14"/>
              </w:rPr>
              <w:t>Medium</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Keep informed</w:t>
            </w:r>
          </w:p>
        </w:tc>
      </w:tr>
      <w:tr>
        <w:tc>
          <w:tcPr>
            <w:tcW w:type="dxa" w:w="1656"/>
            <w:vAlign w:val="center"/>
          </w:tcPr>
          <w:p>
            <w:pPr>
              <w:spacing w:after="20"/>
            </w:pPr>
            <w:r>
              <w:rPr>
                <w:rFonts w:ascii="Aptos" w:hAnsi="Aptos"/>
                <w:b w:val="0"/>
                <w:sz w:val="14"/>
              </w:rPr>
              <w:t>Manufacturing</w:t>
            </w:r>
          </w:p>
        </w:tc>
        <w:tc>
          <w:tcPr>
            <w:tcW w:type="dxa" w:w="2304"/>
            <w:vAlign w:val="center"/>
          </w:tcPr>
          <w:p>
            <w:pPr>
              <w:spacing w:after="20"/>
            </w:pPr>
            <w:r>
              <w:rPr>
                <w:rFonts w:ascii="Aptos" w:hAnsi="Aptos"/>
                <w:b w:val="0"/>
                <w:sz w:val="14"/>
              </w:rPr>
              <w:t>Production and operations teams</w:t>
            </w:r>
          </w:p>
        </w:tc>
        <w:tc>
          <w:tcPr>
            <w:tcW w:type="dxa" w:w="4536"/>
            <w:vAlign w:val="center"/>
          </w:tcPr>
          <w:p>
            <w:pPr>
              <w:spacing w:after="20"/>
            </w:pPr>
            <w:r>
              <w:rPr>
                <w:rFonts w:ascii="Aptos" w:hAnsi="Aptos"/>
                <w:b w:val="0"/>
                <w:sz w:val="14"/>
              </w:rPr>
              <w:t>Availability and integrity of manufacturing-supporting systems, controlled access and safe coordination of system changes.</w:t>
            </w:r>
          </w:p>
        </w:tc>
        <w:tc>
          <w:tcPr>
            <w:tcW w:type="dxa" w:w="792"/>
            <w:vAlign w:val="center"/>
          </w:tcPr>
          <w:p>
            <w:pPr>
              <w:spacing w:after="20"/>
            </w:pPr>
            <w:r>
              <w:rPr>
                <w:rFonts w:ascii="Aptos" w:hAnsi="Aptos"/>
                <w:b w:val="0"/>
                <w:sz w:val="14"/>
              </w:rPr>
              <w:t>High</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Manage closely</w:t>
            </w:r>
          </w:p>
        </w:tc>
      </w:tr>
      <w:tr>
        <w:tc>
          <w:tcPr>
            <w:tcW w:type="dxa" w:w="1656"/>
            <w:vAlign w:val="center"/>
          </w:tcPr>
          <w:p>
            <w:pPr>
              <w:spacing w:after="20"/>
            </w:pPr>
            <w:r>
              <w:rPr>
                <w:rFonts w:ascii="Aptos" w:hAnsi="Aptos"/>
                <w:b w:val="0"/>
                <w:sz w:val="14"/>
              </w:rPr>
              <w:t>Human Resources</w:t>
            </w:r>
          </w:p>
        </w:tc>
        <w:tc>
          <w:tcPr>
            <w:tcW w:type="dxa" w:w="2304"/>
            <w:vAlign w:val="center"/>
          </w:tcPr>
          <w:p>
            <w:pPr>
              <w:spacing w:after="20"/>
            </w:pPr>
            <w:r>
              <w:rPr>
                <w:rFonts w:ascii="Aptos" w:hAnsi="Aptos"/>
                <w:b w:val="0"/>
                <w:sz w:val="14"/>
              </w:rPr>
              <w:t>HR and payroll teams</w:t>
            </w:r>
          </w:p>
        </w:tc>
        <w:tc>
          <w:tcPr>
            <w:tcW w:type="dxa" w:w="4536"/>
            <w:vAlign w:val="center"/>
          </w:tcPr>
          <w:p>
            <w:pPr>
              <w:spacing w:after="20"/>
            </w:pPr>
            <w:r>
              <w:rPr>
                <w:rFonts w:ascii="Aptos" w:hAnsi="Aptos"/>
                <w:b w:val="0"/>
                <w:sz w:val="14"/>
              </w:rPr>
              <w:t>Confidential handling of employee records, appropriate access and compliance with applicable employment and data-protection requirements.</w:t>
            </w:r>
          </w:p>
        </w:tc>
        <w:tc>
          <w:tcPr>
            <w:tcW w:type="dxa" w:w="792"/>
            <w:vAlign w:val="center"/>
          </w:tcPr>
          <w:p>
            <w:pPr>
              <w:spacing w:after="20"/>
            </w:pPr>
            <w:r>
              <w:rPr>
                <w:rFonts w:ascii="Aptos" w:hAnsi="Aptos"/>
                <w:b w:val="0"/>
                <w:sz w:val="14"/>
              </w:rPr>
              <w:t>Medium</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Keep informed</w:t>
            </w:r>
          </w:p>
        </w:tc>
      </w:tr>
      <w:tr>
        <w:tc>
          <w:tcPr>
            <w:tcW w:type="dxa" w:w="1656"/>
            <w:vAlign w:val="center"/>
          </w:tcPr>
          <w:p>
            <w:pPr>
              <w:spacing w:after="20"/>
            </w:pPr>
            <w:r>
              <w:rPr>
                <w:rFonts w:ascii="Aptos" w:hAnsi="Aptos"/>
                <w:b w:val="0"/>
                <w:sz w:val="14"/>
              </w:rPr>
              <w:t>Finance</w:t>
            </w:r>
          </w:p>
        </w:tc>
        <w:tc>
          <w:tcPr>
            <w:tcW w:type="dxa" w:w="2304"/>
            <w:vAlign w:val="center"/>
          </w:tcPr>
          <w:p>
            <w:pPr>
              <w:spacing w:after="20"/>
            </w:pPr>
            <w:r>
              <w:rPr>
                <w:rFonts w:ascii="Aptos" w:hAnsi="Aptos"/>
                <w:b w:val="0"/>
                <w:sz w:val="14"/>
              </w:rPr>
              <w:t>Finance team</w:t>
            </w:r>
          </w:p>
        </w:tc>
        <w:tc>
          <w:tcPr>
            <w:tcW w:type="dxa" w:w="4536"/>
            <w:vAlign w:val="center"/>
          </w:tcPr>
          <w:p>
            <w:pPr>
              <w:spacing w:after="20"/>
            </w:pPr>
            <w:r>
              <w:rPr>
                <w:rFonts w:ascii="Aptos" w:hAnsi="Aptos"/>
                <w:b w:val="0"/>
                <w:sz w:val="14"/>
              </w:rPr>
              <w:t>Confidentiality and integrity of financial records, segregation of duties and appropriate ERP access controls.</w:t>
            </w:r>
          </w:p>
        </w:tc>
        <w:tc>
          <w:tcPr>
            <w:tcW w:type="dxa" w:w="792"/>
            <w:vAlign w:val="center"/>
          </w:tcPr>
          <w:p>
            <w:pPr>
              <w:spacing w:after="20"/>
            </w:pPr>
            <w:r>
              <w:rPr>
                <w:rFonts w:ascii="Aptos" w:hAnsi="Aptos"/>
                <w:b w:val="0"/>
                <w:sz w:val="14"/>
              </w:rPr>
              <w:t>Medium</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Keep informed</w:t>
            </w:r>
          </w:p>
        </w:tc>
      </w:tr>
      <w:tr>
        <w:tc>
          <w:tcPr>
            <w:tcW w:type="dxa" w:w="1656"/>
            <w:vAlign w:val="center"/>
          </w:tcPr>
          <w:p>
            <w:pPr>
              <w:spacing w:after="20"/>
            </w:pPr>
            <w:r>
              <w:rPr>
                <w:rFonts w:ascii="Aptos" w:hAnsi="Aptos"/>
                <w:b w:val="0"/>
                <w:sz w:val="14"/>
              </w:rPr>
              <w:t>Quality management</w:t>
            </w:r>
          </w:p>
        </w:tc>
        <w:tc>
          <w:tcPr>
            <w:tcW w:type="dxa" w:w="2304"/>
            <w:vAlign w:val="center"/>
          </w:tcPr>
          <w:p>
            <w:pPr>
              <w:spacing w:after="20"/>
            </w:pPr>
            <w:r>
              <w:rPr>
                <w:rFonts w:ascii="Aptos" w:hAnsi="Aptos"/>
                <w:b w:val="0"/>
                <w:sz w:val="14"/>
              </w:rPr>
              <w:t>Quality Management function</w:t>
            </w:r>
          </w:p>
        </w:tc>
        <w:tc>
          <w:tcPr>
            <w:tcW w:type="dxa" w:w="4536"/>
            <w:vAlign w:val="center"/>
          </w:tcPr>
          <w:p>
            <w:pPr>
              <w:spacing w:after="20"/>
            </w:pPr>
            <w:r>
              <w:rPr>
                <w:rFonts w:ascii="Aptos" w:hAnsi="Aptos"/>
                <w:b w:val="0"/>
                <w:sz w:val="14"/>
              </w:rPr>
              <w:t>Controlled documentation, traceability, reliable records and coordination between quality and information-security processes.</w:t>
            </w:r>
          </w:p>
        </w:tc>
        <w:tc>
          <w:tcPr>
            <w:tcW w:type="dxa" w:w="792"/>
            <w:vAlign w:val="center"/>
          </w:tcPr>
          <w:p>
            <w:pPr>
              <w:spacing w:after="20"/>
            </w:pPr>
            <w:r>
              <w:rPr>
                <w:rFonts w:ascii="Aptos" w:hAnsi="Aptos"/>
                <w:b w:val="0"/>
                <w:sz w:val="14"/>
              </w:rPr>
              <w:t>Medium</w:t>
            </w:r>
          </w:p>
        </w:tc>
        <w:tc>
          <w:tcPr>
            <w:tcW w:type="dxa" w:w="792"/>
            <w:vAlign w:val="center"/>
          </w:tcPr>
          <w:p>
            <w:pPr>
              <w:spacing w:after="20"/>
            </w:pPr>
            <w:r>
              <w:rPr>
                <w:rFonts w:ascii="Aptos" w:hAnsi="Aptos"/>
                <w:b w:val="0"/>
                <w:sz w:val="14"/>
              </w:rPr>
              <w:t>High</w:t>
            </w:r>
          </w:p>
        </w:tc>
        <w:tc>
          <w:tcPr>
            <w:tcW w:type="dxa" w:w="1440"/>
            <w:vAlign w:val="center"/>
          </w:tcPr>
          <w:p>
            <w:pPr>
              <w:spacing w:after="20"/>
            </w:pPr>
            <w:r>
              <w:rPr>
                <w:rFonts w:ascii="Aptos" w:hAnsi="Aptos"/>
                <w:b w:val="0"/>
                <w:sz w:val="14"/>
              </w:rPr>
              <w:t>Keep informed</w:t>
            </w:r>
          </w:p>
        </w:tc>
      </w:tr>
    </w:tbl>
    <w:p/>
    <w:p>
      <w:pPr>
        <w:pStyle w:val="Heading1"/>
      </w:pPr>
      <w:r>
        <w:t>7. Review and Maintenance</w:t>
      </w:r>
    </w:p>
    <w:p>
      <w:r>
        <w:t>Review this register at planned intervals and when material changes occur, such as new countries or business activities, changes to applicable legal or contractual requirements, significant supplier changes, major incidents, organizational changes, or changes to the ISMS scope. Confirm which stakeholder requirements are applicable and determine which will be addressed through the ISMS.</w:t>
      </w:r>
    </w:p>
    <w:p>
      <w:pPr>
        <w:pStyle w:val="Heading1"/>
      </w:pPr>
      <w:r>
        <w:t>Portfolio Note</w:t>
      </w:r>
    </w:p>
    <w:p>
      <w:r>
        <w:t>This document is an original portfolio artifact prepared for a fictional BLITZX Engineering case study. Power/interest ratings and stakeholder expectations are proposed for demonstration and should be validated in a real implementation. It does not represent actual approval, certification, or a completed audit.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BLITZX Engineering | ISMS-CTX-002 | Version 1.0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sz w:val="16"/>
      </w:rPr>
      <w:t>BLITZX ENGINEERING | INFORMATION SECURITY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