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D446" w14:textId="77777777" w:rsidR="003712DA" w:rsidRDefault="00000000">
      <w:pPr>
        <w:ind w:left="559"/>
        <w:rPr>
          <w:sz w:val="20"/>
        </w:rPr>
      </w:pPr>
      <w:r>
        <w:rPr>
          <w:noProof/>
          <w:sz w:val="20"/>
        </w:rPr>
        <w:drawing>
          <wp:inline distT="0" distB="0" distL="0" distR="0" wp14:anchorId="1A8771BB" wp14:editId="377CA15F">
            <wp:extent cx="4730257" cy="53311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4730257" cy="533114"/>
                    </a:xfrm>
                    <a:prstGeom prst="rect">
                      <a:avLst/>
                    </a:prstGeom>
                  </pic:spPr>
                </pic:pic>
              </a:graphicData>
            </a:graphic>
          </wp:inline>
        </w:drawing>
      </w:r>
    </w:p>
    <w:p w14:paraId="3AB1604A" w14:textId="77777777" w:rsidR="003712DA" w:rsidRDefault="003712DA">
      <w:pPr>
        <w:pStyle w:val="BodyText"/>
        <w:spacing w:before="34"/>
        <w:ind w:left="0"/>
      </w:pPr>
    </w:p>
    <w:p w14:paraId="41C7CF13" w14:textId="77777777" w:rsidR="003712DA" w:rsidRDefault="00000000">
      <w:pPr>
        <w:pStyle w:val="BodyText"/>
        <w:spacing w:before="0"/>
        <w:ind w:left="395" w:right="398"/>
        <w:jc w:val="center"/>
      </w:pPr>
      <w:proofErr w:type="spellStart"/>
      <w:r>
        <w:t>Aushapur</w:t>
      </w:r>
      <w:proofErr w:type="spellEnd"/>
      <w:r>
        <w:rPr>
          <w:spacing w:val="-5"/>
        </w:rPr>
        <w:t xml:space="preserve"> </w:t>
      </w:r>
      <w:r>
        <w:t>(V),</w:t>
      </w:r>
      <w:r>
        <w:rPr>
          <w:spacing w:val="-6"/>
        </w:rPr>
        <w:t xml:space="preserve"> </w:t>
      </w:r>
      <w:proofErr w:type="spellStart"/>
      <w:r>
        <w:t>Ghatkesar</w:t>
      </w:r>
      <w:proofErr w:type="spellEnd"/>
      <w:r>
        <w:rPr>
          <w:spacing w:val="-1"/>
        </w:rPr>
        <w:t xml:space="preserve"> </w:t>
      </w:r>
      <w:r>
        <w:t>(M),</w:t>
      </w:r>
      <w:r>
        <w:rPr>
          <w:spacing w:val="-7"/>
        </w:rPr>
        <w:t xml:space="preserve"> </w:t>
      </w:r>
      <w:proofErr w:type="spellStart"/>
      <w:r>
        <w:t>Medchal</w:t>
      </w:r>
      <w:proofErr w:type="spellEnd"/>
      <w:r>
        <w:rPr>
          <w:spacing w:val="-9"/>
        </w:rPr>
        <w:t xml:space="preserve"> </w:t>
      </w:r>
      <w:r>
        <w:t>(D),</w:t>
      </w:r>
      <w:r>
        <w:rPr>
          <w:spacing w:val="-3"/>
        </w:rPr>
        <w:t xml:space="preserve"> </w:t>
      </w:r>
      <w:r>
        <w:t>Hyderabad</w:t>
      </w:r>
      <w:r>
        <w:rPr>
          <w:spacing w:val="-1"/>
        </w:rPr>
        <w:t xml:space="preserve"> </w:t>
      </w:r>
      <w:r>
        <w:t>T.S.</w:t>
      </w:r>
      <w:r>
        <w:rPr>
          <w:spacing w:val="2"/>
        </w:rPr>
        <w:t xml:space="preserve"> </w:t>
      </w:r>
      <w:r>
        <w:t>–</w:t>
      </w:r>
      <w:r>
        <w:rPr>
          <w:spacing w:val="-1"/>
        </w:rPr>
        <w:t xml:space="preserve"> </w:t>
      </w:r>
      <w:r>
        <w:rPr>
          <w:spacing w:val="-2"/>
        </w:rPr>
        <w:t>501301.</w:t>
      </w:r>
    </w:p>
    <w:p w14:paraId="295FDDBA" w14:textId="77777777" w:rsidR="003712DA" w:rsidRDefault="003712DA">
      <w:pPr>
        <w:pStyle w:val="BodyText"/>
        <w:spacing w:before="1"/>
        <w:ind w:left="0"/>
      </w:pPr>
    </w:p>
    <w:p w14:paraId="5DC9E988" w14:textId="77777777" w:rsidR="003712DA" w:rsidRDefault="00000000">
      <w:pPr>
        <w:pStyle w:val="Heading1"/>
        <w:spacing w:before="80" w:after="120"/>
        <w:ind w:left="395"/>
        <w:jc w:val="center"/>
      </w:pPr>
      <w:r>
        <w:t>DEPARTMENT</w:t>
      </w:r>
      <w:r>
        <w:rPr>
          <w:spacing w:val="-17"/>
        </w:rPr>
        <w:t xml:space="preserve"> </w:t>
      </w:r>
      <w:r>
        <w:t>OF</w:t>
      </w:r>
      <w:r>
        <w:rPr>
          <w:spacing w:val="-15"/>
        </w:rPr>
        <w:t xml:space="preserve"> </w:t>
      </w:r>
      <w:r>
        <w:t>COMPUTER</w:t>
      </w:r>
      <w:r>
        <w:rPr>
          <w:spacing w:val="-14"/>
        </w:rPr>
        <w:t xml:space="preserve"> </w:t>
      </w:r>
      <w:r>
        <w:t>SCIENCE</w:t>
      </w:r>
      <w:r>
        <w:rPr>
          <w:spacing w:val="-16"/>
        </w:rPr>
        <w:t xml:space="preserve"> </w:t>
      </w:r>
      <w:r>
        <w:t>AND</w:t>
      </w:r>
      <w:r>
        <w:rPr>
          <w:spacing w:val="-14"/>
        </w:rPr>
        <w:t xml:space="preserve"> </w:t>
      </w:r>
      <w:r>
        <w:t>ENGINEERING (DATA SCIENCE)</w:t>
      </w:r>
    </w:p>
    <w:p w14:paraId="0C75F110" w14:textId="77777777" w:rsidR="000A5EB1" w:rsidRDefault="000A5EB1">
      <w:pPr>
        <w:pStyle w:val="Heading1"/>
        <w:spacing w:before="80" w:after="120"/>
        <w:ind w:left="395"/>
        <w:jc w:val="center"/>
      </w:pPr>
    </w:p>
    <w:p w14:paraId="56FF5FFF" w14:textId="77777777" w:rsidR="000A5EB1" w:rsidRDefault="000A5EB1" w:rsidP="000A5EB1">
      <w:pPr>
        <w:pStyle w:val="Heading1"/>
        <w:spacing w:before="80" w:after="120"/>
        <w:ind w:left="395"/>
      </w:pPr>
    </w:p>
    <w:p w14:paraId="48B66C3E" w14:textId="5B2FB20E" w:rsidR="000A5EB1" w:rsidRDefault="000A5EB1" w:rsidP="000A5EB1">
      <w:pPr>
        <w:pStyle w:val="Heading1"/>
        <w:spacing w:before="80" w:after="120"/>
        <w:ind w:left="-284" w:hanging="142"/>
        <w:rPr>
          <w:sz w:val="26"/>
          <w:szCs w:val="26"/>
        </w:rPr>
      </w:pPr>
      <w:r w:rsidRPr="000A5EB1">
        <w:rPr>
          <w:sz w:val="26"/>
          <w:szCs w:val="26"/>
        </w:rPr>
        <w:t>Literature Survey:</w:t>
      </w:r>
    </w:p>
    <w:tbl>
      <w:tblPr>
        <w:tblStyle w:val="TableGrid"/>
        <w:tblW w:w="10491" w:type="dxa"/>
        <w:tblInd w:w="-318" w:type="dxa"/>
        <w:tblLayout w:type="fixed"/>
        <w:tblLook w:val="04A0" w:firstRow="1" w:lastRow="0" w:firstColumn="1" w:lastColumn="0" w:noHBand="0" w:noVBand="1"/>
        <w:tblCellMar>
          <w:top w:w="16" w:type="dxa"/>
          <w:bottom w:w="16" w:type="dxa"/>
          <w:left w:w="60" w:type="dxa"/>
          <w:right w:w="60" w:type="dxa"/>
        </w:tblCellMar>
      </w:tblPr>
      <w:tblGrid>
        <w:gridCol w:w="852"/>
        <w:gridCol w:w="1559"/>
        <w:gridCol w:w="1417"/>
        <w:gridCol w:w="1560"/>
        <w:gridCol w:w="1842"/>
        <w:gridCol w:w="1560"/>
        <w:gridCol w:w="1701"/>
      </w:tblGrid>
      <w:tr w:rsidR="000A5EB1" w:rsidRPr="000A5EB1" w14:paraId="62E2ABDD" w14:textId="77777777" w:rsidTr="000A5EB1">
        <w:trPr>
          <w:trHeight w:val="820"/>
        </w:trPr>
        <w:tc>
          <w:tcPr>
            <w:tcW w:w="852" w:type="dxa"/>
          </w:tcPr>
          <w:p w14:paraId="078B6A74" w14:textId="21647407" w:rsidR="000A5EB1" w:rsidRPr="000A5EB1" w:rsidRDefault="000A5EB1" w:rsidP="000A5EB1">
            <w:pPr>
              <w:pStyle w:val="Heading1"/>
              <w:ind w:left="0"/>
              <w:rPr>
                <w:sz w:val="24"/>
                <w:szCs w:val="24"/>
              </w:rPr>
            </w:pPr>
            <w:r w:rsidRPr="000A5EB1">
              <w:rPr>
                <w:sz w:val="24"/>
                <w:szCs w:val="24"/>
              </w:rPr>
              <w:t>S No.</w:t>
            </w:r>
          </w:p>
        </w:tc>
        <w:tc>
          <w:tcPr>
            <w:tcW w:w="1559" w:type="dxa"/>
          </w:tcPr>
          <w:p w14:paraId="0A7F9260" w14:textId="0CA27B97" w:rsidR="000A5EB1" w:rsidRPr="000A5EB1" w:rsidRDefault="000A5EB1" w:rsidP="000A5EB1">
            <w:pPr>
              <w:pStyle w:val="Heading1"/>
              <w:ind w:left="0"/>
              <w:rPr>
                <w:sz w:val="24"/>
                <w:szCs w:val="24"/>
              </w:rPr>
            </w:pPr>
            <w:r w:rsidRPr="000A5EB1">
              <w:rPr>
                <w:sz w:val="24"/>
                <w:szCs w:val="24"/>
              </w:rPr>
              <w:t>Author(s) &amp; Year</w:t>
            </w:r>
          </w:p>
        </w:tc>
        <w:tc>
          <w:tcPr>
            <w:tcW w:w="1417" w:type="dxa"/>
          </w:tcPr>
          <w:p w14:paraId="5B1F231F" w14:textId="7A0F1BA1" w:rsidR="000A5EB1" w:rsidRPr="000A5EB1" w:rsidRDefault="000A5EB1" w:rsidP="000A5EB1">
            <w:pPr>
              <w:pStyle w:val="Heading1"/>
              <w:ind w:left="0"/>
              <w:rPr>
                <w:sz w:val="24"/>
                <w:szCs w:val="24"/>
              </w:rPr>
            </w:pPr>
            <w:r w:rsidRPr="000A5EB1">
              <w:rPr>
                <w:sz w:val="24"/>
                <w:szCs w:val="24"/>
              </w:rPr>
              <w:t>Title of the Paper</w:t>
            </w:r>
          </w:p>
        </w:tc>
        <w:tc>
          <w:tcPr>
            <w:tcW w:w="1560" w:type="dxa"/>
          </w:tcPr>
          <w:p w14:paraId="54934995" w14:textId="3EF83F47" w:rsidR="000A5EB1" w:rsidRPr="000A5EB1" w:rsidRDefault="000A5EB1" w:rsidP="000A5EB1">
            <w:pPr>
              <w:pStyle w:val="Heading1"/>
              <w:ind w:left="0"/>
              <w:rPr>
                <w:sz w:val="24"/>
                <w:szCs w:val="24"/>
              </w:rPr>
            </w:pPr>
            <w:r w:rsidRPr="000A5EB1">
              <w:rPr>
                <w:sz w:val="24"/>
                <w:szCs w:val="24"/>
              </w:rPr>
              <w:t>Objective</w:t>
            </w:r>
          </w:p>
        </w:tc>
        <w:tc>
          <w:tcPr>
            <w:tcW w:w="1842" w:type="dxa"/>
          </w:tcPr>
          <w:p w14:paraId="317AB37E" w14:textId="6A5983FD" w:rsidR="000A5EB1" w:rsidRPr="000A5EB1" w:rsidRDefault="000A5EB1" w:rsidP="000A5EB1">
            <w:pPr>
              <w:pStyle w:val="Heading1"/>
              <w:ind w:left="0"/>
              <w:rPr>
                <w:sz w:val="24"/>
                <w:szCs w:val="24"/>
              </w:rPr>
            </w:pPr>
            <w:r w:rsidRPr="000A5EB1">
              <w:rPr>
                <w:sz w:val="24"/>
                <w:szCs w:val="24"/>
              </w:rPr>
              <w:t>Methodology/Technique Used</w:t>
            </w:r>
          </w:p>
        </w:tc>
        <w:tc>
          <w:tcPr>
            <w:tcW w:w="1560" w:type="dxa"/>
          </w:tcPr>
          <w:p w14:paraId="4B44C4DC" w14:textId="4EA0B036" w:rsidR="000A5EB1" w:rsidRPr="000A5EB1" w:rsidRDefault="000A5EB1" w:rsidP="000A5EB1">
            <w:pPr>
              <w:pStyle w:val="Heading1"/>
              <w:ind w:left="0"/>
              <w:rPr>
                <w:sz w:val="24"/>
                <w:szCs w:val="24"/>
              </w:rPr>
            </w:pPr>
            <w:r w:rsidRPr="000A5EB1">
              <w:rPr>
                <w:sz w:val="24"/>
                <w:szCs w:val="24"/>
              </w:rPr>
              <w:t xml:space="preserve">Key Findings </w:t>
            </w:r>
          </w:p>
        </w:tc>
        <w:tc>
          <w:tcPr>
            <w:tcW w:w="1701" w:type="dxa"/>
          </w:tcPr>
          <w:p w14:paraId="28410ED4" w14:textId="02EF007A" w:rsidR="000A5EB1" w:rsidRPr="000A5EB1" w:rsidRDefault="000A5EB1" w:rsidP="000A5EB1">
            <w:pPr>
              <w:pStyle w:val="Heading1"/>
              <w:ind w:left="0"/>
              <w:rPr>
                <w:sz w:val="24"/>
                <w:szCs w:val="24"/>
              </w:rPr>
            </w:pPr>
            <w:r w:rsidRPr="000A5EB1">
              <w:rPr>
                <w:sz w:val="24"/>
                <w:szCs w:val="24"/>
              </w:rPr>
              <w:t>Limitations</w:t>
            </w:r>
          </w:p>
        </w:tc>
      </w:tr>
      <w:tr w:rsidR="000A5EB1" w:rsidRPr="000A5EB1" w14:paraId="60D17249" w14:textId="77777777" w:rsidTr="000A5EB1">
        <w:tc>
          <w:tcPr>
            <w:tcW w:w="852" w:type="dxa"/>
          </w:tcPr>
          <w:p w14:paraId="2CE816C0" w14:textId="7C25B8C7" w:rsidR="000A5EB1" w:rsidRPr="000A5EB1" w:rsidRDefault="000A5EB1" w:rsidP="000A5EB1">
            <w:pPr>
              <w:spacing w:before="0" w:after="0" w:line="240" w:lineRule="auto"/>
              <w:ind w:left="0"/>
              <w:rPr>
                <w:b w:val="0"/>
                <w:bCs w:val="0"/>
                <w:sz w:val="24"/>
                <w:szCs w:val="24"/>
              </w:rPr>
            </w:pPr>
            <w:r>
              <w:rPr>
                <w:rFonts w:ascii="Times New Roman" w:hAnsi="Times New Roman"/>
                <w:b w:val="0"/>
                <w:sz w:val="16"/>
              </w:rPr>
              <w:t>1.</w:t>
            </w:r>
          </w:p>
        </w:tc>
        <w:tc>
          <w:tcPr>
            <w:tcW w:w="1559" w:type="dxa"/>
          </w:tcPr>
          <w:p w14:paraId="5EBD98F1" w14:textId="1D92C6C1" w:rsidR="000A5EB1" w:rsidRPr="000A5EB1" w:rsidRDefault="000A5EB1" w:rsidP="000A5EB1">
            <w:pPr>
              <w:spacing w:before="0" w:after="0" w:line="240" w:lineRule="auto"/>
              <w:ind w:left="0"/>
              <w:rPr>
                <w:sz w:val="24"/>
                <w:szCs w:val="24"/>
              </w:rPr>
            </w:pPr>
            <w:r>
              <w:rPr>
                <w:rFonts w:ascii="Times New Roman" w:hAnsi="Times New Roman"/>
                <w:b w:val="0"/>
                <w:sz w:val="16"/>
              </w:rPr>
              <w:t>Chakravarty, Chapman, MacKenzie, Melkonian, Peyton Jones &amp; Wadler (2020)</w:t>
            </w:r>
          </w:p>
        </w:tc>
        <w:tc>
          <w:tcPr>
            <w:tcW w:w="1417" w:type="dxa"/>
          </w:tcPr>
          <w:p w14:paraId="2AA1438C" w14:textId="77777777" w:rsidR="000A5EB1" w:rsidRPr="000A5EB1" w:rsidRDefault="000A5EB1" w:rsidP="000A5EB1">
            <w:pPr>
              <w:spacing w:before="0" w:after="0" w:line="240" w:lineRule="auto"/>
              <w:ind w:left="0"/>
              <w:rPr>
                <w:sz w:val="24"/>
                <w:szCs w:val="24"/>
              </w:rPr>
            </w:pPr>
            <w:r>
              <w:rPr>
                <w:rFonts w:ascii="Times New Roman" w:hAnsi="Times New Roman"/>
                <w:b w:val="0"/>
                <w:sz w:val="16"/>
              </w:rPr>
              <w:t>The Extended UTXO Model</w:t>
            </w:r>
          </w:p>
        </w:tc>
        <w:tc>
          <w:tcPr>
            <w:tcW w:w="1560" w:type="dxa"/>
          </w:tcPr>
          <w:p w14:paraId="07A91E37" w14:textId="77777777" w:rsidR="000A5EB1" w:rsidRPr="000A5EB1" w:rsidRDefault="000A5EB1" w:rsidP="000A5EB1">
            <w:pPr>
              <w:spacing w:before="0" w:after="0" w:line="240" w:lineRule="auto"/>
              <w:ind w:left="0"/>
              <w:rPr>
                <w:sz w:val="24"/>
                <w:szCs w:val="24"/>
              </w:rPr>
            </w:pPr>
            <w:r>
              <w:rPr>
                <w:rFonts w:ascii="Times New Roman" w:hAnsi="Times New Roman"/>
                <w:b w:val="0"/>
                <w:sz w:val="16"/>
              </w:rPr>
              <w:t>Formalize an expressive yet secure UTXO-based smart-contract model (eUTXO).</w:t>
            </w:r>
          </w:p>
        </w:tc>
        <w:tc>
          <w:tcPr>
            <w:tcW w:w="1842" w:type="dxa"/>
          </w:tcPr>
          <w:p w14:paraId="7DF8DAF9" w14:textId="77777777" w:rsidR="000A5EB1" w:rsidRPr="000A5EB1" w:rsidRDefault="000A5EB1" w:rsidP="000A5EB1">
            <w:pPr>
              <w:spacing w:before="0" w:after="0" w:line="240" w:lineRule="auto"/>
              <w:ind w:left="0"/>
              <w:rPr>
                <w:sz w:val="24"/>
                <w:szCs w:val="24"/>
              </w:rPr>
            </w:pPr>
            <w:r>
              <w:rPr>
                <w:rFonts w:ascii="Times New Roman" w:hAnsi="Times New Roman"/>
                <w:b w:val="0"/>
                <w:sz w:val="16"/>
              </w:rPr>
              <w:t>Formal EUTXO specification with datums, redeemers and validators; state machines verified in Agda.</w:t>
            </w:r>
          </w:p>
        </w:tc>
        <w:tc>
          <w:tcPr>
            <w:tcW w:w="1560" w:type="dxa"/>
          </w:tcPr>
          <w:p w14:paraId="4EF58F19" w14:textId="77777777" w:rsidR="000A5EB1" w:rsidRPr="000A5EB1" w:rsidRDefault="000A5EB1" w:rsidP="000A5EB1">
            <w:pPr>
              <w:spacing w:before="0" w:after="0" w:line="240" w:lineRule="auto"/>
              <w:ind w:left="0"/>
              <w:rPr>
                <w:sz w:val="24"/>
                <w:szCs w:val="24"/>
              </w:rPr>
            </w:pPr>
            <w:r>
              <w:rPr>
                <w:rFonts w:ascii="Times New Roman" w:hAnsi="Times New Roman"/>
                <w:b w:val="0"/>
                <w:sz w:val="16"/>
              </w:rPr>
              <w:t>Deterministic, locally-scoped contracts; a DEX pool is one UTXO, spendable only once per block.</w:t>
            </w:r>
          </w:p>
        </w:tc>
        <w:tc>
          <w:tcPr>
            <w:tcW w:w="1701" w:type="dxa"/>
          </w:tcPr>
          <w:p w14:paraId="3D7F89AC" w14:textId="77777777" w:rsidR="000A5EB1" w:rsidRPr="000A5EB1" w:rsidRDefault="000A5EB1" w:rsidP="000A5EB1">
            <w:pPr>
              <w:spacing w:before="0" w:after="0" w:line="240" w:lineRule="auto"/>
              <w:ind w:left="0"/>
              <w:rPr>
                <w:sz w:val="24"/>
                <w:szCs w:val="24"/>
              </w:rPr>
            </w:pPr>
            <w:r>
              <w:rPr>
                <w:rFonts w:ascii="Times New Roman" w:hAnsi="Times New Roman"/>
                <w:b w:val="0"/>
                <w:sz w:val="16"/>
              </w:rPr>
              <w:t>Single-UTXO state causes a concurrency bottleneck for DEXs; not solved at the application layer.</w:t>
            </w:r>
          </w:p>
        </w:tc>
      </w:tr>
      <w:tr w:rsidR="000A5EB1" w:rsidRPr="000A5EB1" w14:paraId="3E950CD6" w14:textId="77777777" w:rsidTr="000A5EB1">
        <w:tc>
          <w:tcPr>
            <w:tcW w:w="852" w:type="dxa"/>
          </w:tcPr>
          <w:p w14:paraId="5E1A3C73" w14:textId="4631B626" w:rsidR="000A5EB1" w:rsidRPr="000A5EB1" w:rsidRDefault="000A5EB1" w:rsidP="000A5EB1">
            <w:pPr>
              <w:spacing w:before="0" w:after="0" w:line="240" w:lineRule="auto"/>
              <w:ind w:left="0"/>
              <w:rPr>
                <w:b w:val="0"/>
                <w:bCs w:val="0"/>
                <w:sz w:val="26"/>
                <w:szCs w:val="26"/>
              </w:rPr>
            </w:pPr>
            <w:r>
              <w:rPr>
                <w:rFonts w:ascii="Times New Roman" w:hAnsi="Times New Roman"/>
                <w:b w:val="0"/>
                <w:sz w:val="16"/>
              </w:rPr>
              <w:t>2.</w:t>
            </w:r>
          </w:p>
        </w:tc>
        <w:tc>
          <w:tcPr>
            <w:tcW w:w="1559" w:type="dxa"/>
          </w:tcPr>
          <w:p w14:paraId="2F8DF121"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H. Nguyen Quang (MELD) (2021)</w:t>
            </w:r>
          </w:p>
        </w:tc>
        <w:tc>
          <w:tcPr>
            <w:tcW w:w="1417" w:type="dxa"/>
          </w:tcPr>
          <w:p w14:paraId="7368414C"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Concurrent &amp; Deterministic Batching on the UTXO Ledger</w:t>
            </w:r>
          </w:p>
        </w:tc>
        <w:tc>
          <w:tcPr>
            <w:tcW w:w="1560" w:type="dxa"/>
          </w:tcPr>
          <w:p w14:paraId="019DF74D"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Overcome the eUTXO concurrency limit by batching swap orders.</w:t>
            </w:r>
          </w:p>
        </w:tc>
        <w:tc>
          <w:tcPr>
            <w:tcW w:w="1842" w:type="dxa"/>
          </w:tcPr>
          <w:p w14:paraId="2424EDA9"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Orders posted as individual UTXOs; a batcher aggregates them into one deterministic pool update.</w:t>
            </w:r>
          </w:p>
        </w:tc>
        <w:tc>
          <w:tcPr>
            <w:tcW w:w="1560" w:type="dxa"/>
          </w:tcPr>
          <w:p w14:paraId="37BE3813"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Decentralized batching works; resolves pool contention and amortizes cost across users.</w:t>
            </w:r>
          </w:p>
        </w:tc>
        <w:tc>
          <w:tcPr>
            <w:tcW w:w="1701" w:type="dxa"/>
          </w:tcPr>
          <w:p w14:paraId="177A016A"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Static, rule-based batching; not congestion-aware; ignores block fullness and latency.</w:t>
            </w:r>
          </w:p>
        </w:tc>
      </w:tr>
      <w:tr w:rsidR="000A5EB1" w:rsidRPr="000A5EB1" w14:paraId="60EF0B60" w14:textId="77777777" w:rsidTr="000A5EB1">
        <w:tc>
          <w:tcPr>
            <w:tcW w:w="852" w:type="dxa"/>
          </w:tcPr>
          <w:p w14:paraId="771A3299" w14:textId="6FAFCBFE" w:rsidR="000A5EB1" w:rsidRPr="000A5EB1" w:rsidRDefault="000A5EB1" w:rsidP="000A5EB1">
            <w:pPr>
              <w:spacing w:before="0" w:after="0" w:line="240" w:lineRule="auto"/>
              <w:ind w:left="0"/>
              <w:rPr>
                <w:b w:val="0"/>
                <w:bCs w:val="0"/>
                <w:sz w:val="26"/>
                <w:szCs w:val="26"/>
              </w:rPr>
            </w:pPr>
            <w:r>
              <w:rPr>
                <w:rFonts w:ascii="Times New Roman" w:hAnsi="Times New Roman"/>
                <w:b w:val="0"/>
                <w:sz w:val="16"/>
              </w:rPr>
              <w:t>3.</w:t>
            </w:r>
          </w:p>
        </w:tc>
        <w:tc>
          <w:tcPr>
            <w:tcW w:w="1559" w:type="dxa"/>
          </w:tcPr>
          <w:p w14:paraId="43141503"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T. Roughgarden (2020)</w:t>
            </w:r>
          </w:p>
        </w:tc>
        <w:tc>
          <w:tcPr>
            <w:tcW w:w="1417" w:type="dxa"/>
          </w:tcPr>
          <w:p w14:paraId="7476F0A0"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Transaction Fee Mechanism Design: An Economic Analysis of EIP-1559</w:t>
            </w:r>
          </w:p>
        </w:tc>
        <w:tc>
          <w:tcPr>
            <w:tcW w:w="1560" w:type="dxa"/>
          </w:tcPr>
          <w:p w14:paraId="11FA107B"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Analyze demand-based dynamic pricing of block space.</w:t>
            </w:r>
          </w:p>
        </w:tc>
        <w:tc>
          <w:tcPr>
            <w:tcW w:w="1842" w:type="dxa"/>
          </w:tcPr>
          <w:p w14:paraId="4156F6F4"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Game-theoretic analysis of EIP-1559 (variable-size blocks, burned base fee).</w:t>
            </w:r>
          </w:p>
        </w:tc>
        <w:tc>
          <w:tcPr>
            <w:tcW w:w="1560" w:type="dxa"/>
          </w:tcPr>
          <w:p w14:paraId="404CD84A"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On Ethereum the base fee rises with congestion, so users pay more at peak demand.</w:t>
            </w:r>
          </w:p>
        </w:tc>
        <w:tc>
          <w:tcPr>
            <w:tcW w:w="1701" w:type="dxa"/>
          </w:tcPr>
          <w:p w14:paraId="5F126D11"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Inapplicable to Cardano's deterministic fees; there congestion means latency, not higher cost.</w:t>
            </w:r>
          </w:p>
        </w:tc>
      </w:tr>
      <w:tr w:rsidR="000A5EB1" w:rsidRPr="000A5EB1" w14:paraId="520F0C79" w14:textId="77777777" w:rsidTr="000A5EB1">
        <w:tc>
          <w:tcPr>
            <w:tcW w:w="852" w:type="dxa"/>
          </w:tcPr>
          <w:p w14:paraId="4D9458C9" w14:textId="6D0EBF49" w:rsidR="000A5EB1" w:rsidRPr="000A5EB1" w:rsidRDefault="000A5EB1" w:rsidP="000A5EB1">
            <w:pPr>
              <w:spacing w:before="0" w:after="0" w:line="240" w:lineRule="auto"/>
              <w:ind w:left="0"/>
              <w:rPr>
                <w:b w:val="0"/>
                <w:bCs w:val="0"/>
                <w:sz w:val="26"/>
                <w:szCs w:val="26"/>
              </w:rPr>
            </w:pPr>
            <w:r>
              <w:rPr>
                <w:rFonts w:ascii="Times New Roman" w:hAnsi="Times New Roman"/>
                <w:b w:val="0"/>
                <w:sz w:val="16"/>
              </w:rPr>
              <w:t>4.</w:t>
            </w:r>
          </w:p>
        </w:tc>
        <w:tc>
          <w:tcPr>
            <w:tcW w:w="1559" w:type="dxa"/>
          </w:tcPr>
          <w:p w14:paraId="4F1EFAF9"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H. Mao, M. Alizadeh, I. Menache &amp; S. Kandula (2016)</w:t>
            </w:r>
          </w:p>
        </w:tc>
        <w:tc>
          <w:tcPr>
            <w:tcW w:w="1417" w:type="dxa"/>
          </w:tcPr>
          <w:p w14:paraId="728F0822"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Resource Management with Deep Reinforcement Learning</w:t>
            </w:r>
          </w:p>
        </w:tc>
        <w:tc>
          <w:tcPr>
            <w:tcW w:w="1560" w:type="dxa"/>
          </w:tcPr>
          <w:p w14:paraId="7437ECD8"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Learn scheduling/allocation policies instead of hand-tuned heuristics.</w:t>
            </w:r>
          </w:p>
        </w:tc>
        <w:tc>
          <w:tcPr>
            <w:tcW w:w="1842" w:type="dxa"/>
          </w:tcPr>
          <w:p w14:paraId="20861B46"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Deep RL (DeepRM) packs multi-resource tasks; trained in a simulator.</w:t>
            </w:r>
          </w:p>
        </w:tc>
        <w:tc>
          <w:tcPr>
            <w:tcW w:w="1560" w:type="dxa"/>
          </w:tcPr>
          <w:p w14:paraId="53D10932"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Matches or beats heuristics, adapts to changing conditions, converges quickly.</w:t>
            </w:r>
          </w:p>
        </w:tc>
        <w:tc>
          <w:tcPr>
            <w:tcW w:w="1701" w:type="dxa"/>
          </w:tcPr>
          <w:p w14:paraId="155AA8EB" w14:textId="77777777" w:rsidR="000A5EB1" w:rsidRPr="000A5EB1" w:rsidRDefault="000A5EB1" w:rsidP="000A5EB1">
            <w:pPr>
              <w:spacing w:before="0" w:after="0" w:line="240" w:lineRule="auto"/>
              <w:ind w:left="0"/>
              <w:rPr>
                <w:sz w:val="26"/>
                <w:szCs w:val="26"/>
              </w:rPr>
            </w:pPr>
            <w:r>
              <w:rPr>
                <w:rFonts w:ascii="Times New Roman" w:hAnsi="Times New Roman"/>
                <w:b w:val="0"/>
                <w:sz w:val="16"/>
              </w:rPr>
              <w:t>For datacenter jobs, not blockchain; unaware of block limits or eUTXO batching.</w:t>
            </w:r>
          </w:p>
        </w:tc>
      </w:tr>
    </w:tbl>
    <w:p w14:paraId="32885B5E" w14:textId="51F4F1E8" w:rsidR="000A5EB1" w:rsidRPr="000A5EB1" w:rsidRDefault="000A5EB1" w:rsidP="000A5EB1">
      <w:pPr>
        <w:pStyle w:val="Heading1"/>
        <w:spacing w:before="80" w:after="120"/>
        <w:ind w:left="395" w:hanging="821"/>
        <w:rPr>
          <w:sz w:val="26"/>
          <w:szCs w:val="26"/>
        </w:rPr>
      </w:pPr>
      <w:r w:rsidRPr="000A5EB1">
        <w:rPr>
          <w:sz w:val="26"/>
          <w:szCs w:val="26"/>
        </w:rPr>
        <w:t>Problem Statement:</w:t>
      </w:r>
    </w:p>
    <w:p w14:paraId="16E28721" w14:textId="77777777" w:rsidR="000A5EB1" w:rsidRDefault="000A5EB1" w:rsidP="000A5EB1">
      <w:pPr>
        <w:spacing w:before="80" w:after="0" w:line="264" w:lineRule="auto"/>
        <w:ind w:left="395" w:hanging="679"/>
        <w:jc w:val="both"/>
      </w:pPr>
      <w:r>
        <w:rPr>
          <w:rFonts w:ascii="Times New Roman" w:hAnsi="Times New Roman"/>
          <w:sz w:val="21"/>
        </w:rPr>
        <w:t>On Cardano's eUTXO ledger a DEX liquidity pool is a single UTXO that can be consumed only once per block, so DEXs rely on off-chain batchers to combine many swap orders into one transaction. Existing batchers use static rules and ignore network load. Since Cardano's fees are deterministic and do not rise with demand, congestion causes higher latency and failed inclusion rather than higher fees, especially when blocks near their size and execution-unit limits (often 80-90% full at peak). This project builds an AI/ML batcher that predicts block fullness and learns batch timing and size, evaluated in a discrete-event simulator against static baselines and demonstrated on a minimal Aiken-based DEX on the Cardano preprod testnet.</w:t>
      </w:r>
    </w:p>
    <w:p>
      <w:pPr>
        <w:spacing w:before="0" w:after="800" w:line="40" w:lineRule="exact"/>
      </w:pPr>
      <w:r>
        <w:rPr>
          <w:sz w:val="4"/>
        </w:rPr>
      </w:r>
    </w:p>
    <w:tbl>
      <w:tblPr>
        <w:tblStyle w:val="PlainTable4"/>
        <w:tblpPr w:leftFromText="180" w:rightFromText="180" w:vertAnchor="text" w:horzAnchor="margin" w:tblpXSpec="center" w:tblpY="1127"/>
        <w:tblW w:w="11058" w:type="dxa"/>
        <w:tblLook w:val="04A0" w:firstRow="1" w:lastRow="0" w:firstColumn="1" w:lastColumn="0" w:noHBand="0" w:noVBand="1"/>
      </w:tblPr>
      <w:tblGrid>
        <w:gridCol w:w="3403"/>
        <w:gridCol w:w="3954"/>
        <w:gridCol w:w="3701"/>
      </w:tblGrid>
      <w:tr w:rsidR="000A5EB1" w:rsidRPr="000A5EB1" w14:paraId="295F289A" w14:textId="77777777" w:rsidTr="000A5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tcPr>
          <w:p w14:paraId="7013FF81" w14:textId="77777777" w:rsidR="000A5EB1" w:rsidRPr="000A5EB1" w:rsidRDefault="000A5EB1" w:rsidP="000A5EB1">
            <w:pPr>
              <w:spacing w:before="0" w:after="0" w:line="240" w:lineRule="auto"/>
              <w:ind w:left="0"/>
              <w:jc w:val="center"/>
              <w:outlineLvl w:val="0"/>
              <w:rPr>
                <w:sz w:val="26"/>
                <w:szCs w:val="26"/>
              </w:rPr>
            </w:pPr>
            <w:r>
              <w:rPr>
                <w:rFonts w:ascii="Times New Roman" w:hAnsi="Times New Roman"/>
                <w:b w:val="0"/>
                <w:sz w:val="22"/>
              </w:rPr>
              <w:t>[Students]</w:t>
            </w:r>
          </w:p>
        </w:tc>
        <w:tc>
          <w:tcPr>
            <w:tcW w:w="3954" w:type="dxa"/>
          </w:tcPr>
          <w:p w14:paraId="4A3DE290" w14:textId="77777777" w:rsidR="000A5EB1" w:rsidRPr="000A5EB1" w:rsidRDefault="000A5EB1" w:rsidP="000A5EB1">
            <w:pPr>
              <w:spacing w:before="0" w:after="0" w:line="240" w:lineRule="auto"/>
              <w:ind w:left="0"/>
              <w:jc w:val="center"/>
              <w:outlineLvl w:val="0"/>
              <w:cnfStyle w:val="100000000000" w:firstRow="1" w:lastRow="0" w:firstColumn="0" w:lastColumn="0" w:oddVBand="0" w:evenVBand="0" w:oddHBand="0" w:evenHBand="0" w:firstRowFirstColumn="0" w:firstRowLastColumn="0" w:lastRowFirstColumn="0" w:lastRowLastColumn="0"/>
              <w:rPr>
                <w:sz w:val="26"/>
                <w:szCs w:val="26"/>
              </w:rPr>
            </w:pPr>
            <w:r>
              <w:rPr>
                <w:rFonts w:ascii="Times New Roman" w:hAnsi="Times New Roman"/>
                <w:b w:val="0"/>
                <w:sz w:val="22"/>
              </w:rPr>
              <w:t>[Project Guide]</w:t>
            </w:r>
          </w:p>
        </w:tc>
        <w:tc>
          <w:tcPr>
            <w:tcW w:w="3701" w:type="dxa"/>
          </w:tcPr>
          <w:p w14:paraId="43297AF7" w14:textId="77777777" w:rsidR="000A5EB1" w:rsidRPr="000A5EB1" w:rsidRDefault="000A5EB1" w:rsidP="000A5EB1">
            <w:pPr>
              <w:spacing w:before="0" w:after="0" w:line="240" w:lineRule="auto"/>
              <w:ind w:left="0"/>
              <w:jc w:val="center"/>
              <w:outlineLvl w:val="0"/>
              <w:cnfStyle w:val="100000000000" w:firstRow="1" w:lastRow="0" w:firstColumn="0" w:lastColumn="0" w:oddVBand="0" w:evenVBand="0" w:oddHBand="0" w:evenHBand="0" w:firstRowFirstColumn="0" w:firstRowLastColumn="0" w:lastRowFirstColumn="0" w:lastRowLastColumn="0"/>
              <w:rPr>
                <w:sz w:val="26"/>
                <w:szCs w:val="26"/>
              </w:rPr>
            </w:pPr>
            <w:r>
              <w:rPr>
                <w:rFonts w:ascii="Times New Roman" w:hAnsi="Times New Roman"/>
                <w:b w:val="0"/>
                <w:sz w:val="22"/>
              </w:rPr>
              <w:t>[Project Coordinator]</w:t>
            </w:r>
          </w:p>
        </w:tc>
      </w:tr>
    </w:tbl>
    <w:p w14:paraId="596C3F3E" w14:textId="77777777" w:rsidR="000A5EB1" w:rsidRPr="000A5EB1" w:rsidRDefault="000A5EB1" w:rsidP="00FF34C3">
      <w:pPr>
        <w:pStyle w:val="Heading1"/>
        <w:spacing w:before="80" w:after="120"/>
        <w:ind w:left="0"/>
        <w:rPr>
          <w:b w:val="0"/>
          <w:bCs w:val="0"/>
          <w:sz w:val="26"/>
          <w:szCs w:val="26"/>
        </w:rPr>
      </w:pPr>
    </w:p>
    <w:sectPr w:rsidR="000A5EB1" w:rsidRPr="000A5EB1" w:rsidSect="00FF34C3">
      <w:type w:val="continuous"/>
      <w:pgSz w:w="11920" w:h="16850"/>
      <w:pgMar w:top="1480" w:right="1133" w:bottom="1680" w:left="1133"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B256" w14:textId="77777777" w:rsidR="00F11B71" w:rsidRDefault="00F11B71">
      <w:r>
        <w:separator/>
      </w:r>
    </w:p>
  </w:endnote>
  <w:endnote w:type="continuationSeparator" w:id="0">
    <w:p w14:paraId="20A9D447" w14:textId="77777777" w:rsidR="00F11B71" w:rsidRDefault="00F11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1F17D" w14:textId="77777777" w:rsidR="00F11B71" w:rsidRDefault="00F11B71">
      <w:r>
        <w:separator/>
      </w:r>
    </w:p>
  </w:footnote>
  <w:footnote w:type="continuationSeparator" w:id="0">
    <w:p w14:paraId="4CA75429" w14:textId="77777777" w:rsidR="00F11B71" w:rsidRDefault="00F11B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DA"/>
    <w:rsid w:val="000A5EB1"/>
    <w:rsid w:val="003712DA"/>
    <w:rsid w:val="009C2F7C"/>
    <w:rsid w:val="00A22766"/>
    <w:rsid w:val="00F11B71"/>
    <w:rsid w:val="00F20D3C"/>
    <w:rsid w:val="00FF3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E93BA"/>
  <w15:docId w15:val="{7E3D4367-6ADC-42FD-8454-0D8745B71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right="250"/>
      <w:outlineLvl w:val="0"/>
    </w:pPr>
    <w:rPr>
      <w:b/>
      <w:bCs/>
      <w:sz w:val="28"/>
      <w:szCs w:val="28"/>
    </w:rPr>
  </w:style>
  <w:style w:type="paragraph" w:styleId="Heading2">
    <w:name w:val="heading 2"/>
    <w:basedOn w:val="Normal"/>
    <w:uiPriority w:val="9"/>
    <w:unhideWhenUsed/>
    <w:qFormat/>
    <w:pPr>
      <w:spacing w:before="253"/>
      <w:ind w:left="3864" w:right="3720"/>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ind w:left="2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0A5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EB1"/>
    <w:pPr>
      <w:tabs>
        <w:tab w:val="center" w:pos="4513"/>
        <w:tab w:val="right" w:pos="9026"/>
      </w:tabs>
    </w:pPr>
  </w:style>
  <w:style w:type="character" w:customStyle="1" w:styleId="HeaderChar">
    <w:name w:val="Header Char"/>
    <w:basedOn w:val="DefaultParagraphFont"/>
    <w:link w:val="Header"/>
    <w:uiPriority w:val="99"/>
    <w:rsid w:val="000A5EB1"/>
    <w:rPr>
      <w:rFonts w:ascii="Times New Roman" w:eastAsia="Times New Roman" w:hAnsi="Times New Roman" w:cs="Times New Roman"/>
    </w:rPr>
  </w:style>
  <w:style w:type="paragraph" w:styleId="Footer">
    <w:name w:val="footer"/>
    <w:basedOn w:val="Normal"/>
    <w:link w:val="FooterChar"/>
    <w:uiPriority w:val="99"/>
    <w:unhideWhenUsed/>
    <w:rsid w:val="000A5EB1"/>
    <w:pPr>
      <w:tabs>
        <w:tab w:val="center" w:pos="4513"/>
        <w:tab w:val="right" w:pos="9026"/>
      </w:tabs>
    </w:pPr>
  </w:style>
  <w:style w:type="character" w:customStyle="1" w:styleId="FooterChar">
    <w:name w:val="Footer Char"/>
    <w:basedOn w:val="DefaultParagraphFont"/>
    <w:link w:val="Footer"/>
    <w:uiPriority w:val="99"/>
    <w:rsid w:val="000A5EB1"/>
    <w:rPr>
      <w:rFonts w:ascii="Times New Roman" w:eastAsia="Times New Roman" w:hAnsi="Times New Roman" w:cs="Times New Roman"/>
    </w:rPr>
  </w:style>
  <w:style w:type="table" w:styleId="PlainTable4">
    <w:name w:val="Plain Table 4"/>
    <w:basedOn w:val="TableNormal"/>
    <w:uiPriority w:val="44"/>
    <w:rsid w:val="000A5EB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58</Words>
  <Characters>332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dc:creator>
  <cp:lastModifiedBy>Jonathan Raj</cp:lastModifiedBy>
  <cp:revision>2</cp:revision>
  <dcterms:created xsi:type="dcterms:W3CDTF">2026-07-23T05:14:00Z</dcterms:created>
  <dcterms:modified xsi:type="dcterms:W3CDTF">2026-07-23T05:14:00Z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Word 2021</vt:lpwstr>
  </property>
  <property fmtid="{D5CDD505-2E9C-101B-9397-08002B2CF9AE}" pid="5" name="LastSaved">
    <vt:filetime>2026-07-21T00:00:00Z</vt:filetime>
  </property>
  <property fmtid="{D5CDD505-2E9C-101B-9397-08002B2CF9AE}" pid="6" name="Producer">
    <vt:lpwstr>Microsoft® Word 2021</vt:lpwstr>
  </property>
</Properties>
</file>